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CF3F2" w14:textId="77777777" w:rsidR="00494871" w:rsidRDefault="00494871" w:rsidP="00494871">
      <w:pPr>
        <w:rPr>
          <w:rStyle w:val="Ttulodellibro"/>
          <w:rFonts w:asciiTheme="majorHAnsi" w:eastAsia="Calibri" w:hAnsiTheme="majorHAnsi" w:cstheme="majorHAnsi"/>
          <w:bCs w:val="0"/>
          <w:i w:val="0"/>
          <w:iCs w:val="0"/>
          <w:sz w:val="22"/>
          <w:szCs w:val="22"/>
        </w:rPr>
      </w:pPr>
      <w:bookmarkStart w:id="0" w:name="_Toc144981592"/>
      <w:bookmarkStart w:id="1" w:name="_Anexo_1:_Requisitos"/>
      <w:bookmarkEnd w:id="1"/>
      <w:r>
        <w:rPr>
          <w:rFonts w:asciiTheme="majorHAnsi" w:eastAsia="Calibri" w:hAnsiTheme="majorHAnsi" w:cstheme="majorHAnsi"/>
          <w:noProof/>
          <w:spacing w:val="5"/>
          <w:sz w:val="22"/>
          <w:szCs w:val="22"/>
        </w:rPr>
        <w:drawing>
          <wp:anchor distT="0" distB="0" distL="114300" distR="114300" simplePos="0" relativeHeight="251659264" behindDoc="0" locked="0" layoutInCell="1" allowOverlap="1" wp14:anchorId="761E4C01" wp14:editId="0356BE00">
            <wp:simplePos x="0" y="0"/>
            <wp:positionH relativeFrom="page">
              <wp:posOffset>11811</wp:posOffset>
            </wp:positionH>
            <wp:positionV relativeFrom="page">
              <wp:align>top</wp:align>
            </wp:positionV>
            <wp:extent cx="7576274" cy="10680192"/>
            <wp:effectExtent l="0" t="0" r="5715" b="6985"/>
            <wp:wrapSquare wrapText="bothSides"/>
            <wp:docPr id="153578225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782256" name="Imagen 1535782256"/>
                    <pic:cNvPicPr/>
                  </pic:nvPicPr>
                  <pic:blipFill>
                    <a:blip r:embed="rId7">
                      <a:extLst>
                        <a:ext uri="{28A0092B-C50C-407E-A947-70E740481C1C}">
                          <a14:useLocalDpi xmlns:a14="http://schemas.microsoft.com/office/drawing/2010/main" val="0"/>
                        </a:ext>
                      </a:extLst>
                    </a:blip>
                    <a:stretch>
                      <a:fillRect/>
                    </a:stretch>
                  </pic:blipFill>
                  <pic:spPr>
                    <a:xfrm>
                      <a:off x="0" y="0"/>
                      <a:ext cx="7587460" cy="10695961"/>
                    </a:xfrm>
                    <a:prstGeom prst="rect">
                      <a:avLst/>
                    </a:prstGeom>
                  </pic:spPr>
                </pic:pic>
              </a:graphicData>
            </a:graphic>
            <wp14:sizeRelH relativeFrom="margin">
              <wp14:pctWidth>0</wp14:pctWidth>
            </wp14:sizeRelH>
            <wp14:sizeRelV relativeFrom="margin">
              <wp14:pctHeight>0</wp14:pctHeight>
            </wp14:sizeRelV>
          </wp:anchor>
        </w:drawing>
      </w:r>
      <w:r>
        <w:rPr>
          <w:rStyle w:val="Ttulodellibro"/>
          <w:rFonts w:asciiTheme="majorHAnsi" w:eastAsia="Calibri" w:hAnsiTheme="majorHAnsi" w:cstheme="majorHAnsi"/>
          <w:b w:val="0"/>
          <w:bCs w:val="0"/>
          <w:i w:val="0"/>
          <w:iCs w:val="0"/>
          <w:sz w:val="22"/>
          <w:szCs w:val="22"/>
        </w:rPr>
        <w:br w:type="page"/>
      </w:r>
    </w:p>
    <w:p w14:paraId="53C76B59" w14:textId="77777777" w:rsidR="00494871" w:rsidRPr="00494871" w:rsidRDefault="00494871" w:rsidP="00494871">
      <w:pPr>
        <w:pStyle w:val="Ttulo1"/>
        <w:spacing w:before="0" w:after="0"/>
        <w:jc w:val="center"/>
        <w:rPr>
          <w:rStyle w:val="Ttulodellibro"/>
          <w:rFonts w:asciiTheme="majorHAnsi" w:eastAsia="Calibri" w:hAnsiTheme="majorHAnsi" w:cstheme="majorHAnsi"/>
          <w:b/>
          <w:bCs w:val="0"/>
          <w:i w:val="0"/>
          <w:iCs w:val="0"/>
          <w:sz w:val="22"/>
          <w:szCs w:val="22"/>
        </w:rPr>
      </w:pPr>
      <w:r w:rsidRPr="00494871">
        <w:rPr>
          <w:rStyle w:val="Ttulodellibro"/>
          <w:rFonts w:asciiTheme="majorHAnsi" w:eastAsia="Calibri" w:hAnsiTheme="majorHAnsi" w:cstheme="majorHAnsi"/>
          <w:b/>
          <w:bCs w:val="0"/>
          <w:i w:val="0"/>
          <w:iCs w:val="0"/>
          <w:sz w:val="22"/>
          <w:szCs w:val="22"/>
        </w:rPr>
        <w:lastRenderedPageBreak/>
        <w:t>Anexo 1: Requisitos legales para los miembros del equipo emprendedor y empresas jóvenes</w:t>
      </w:r>
      <w:bookmarkEnd w:id="0"/>
    </w:p>
    <w:p w14:paraId="246E0668" w14:textId="77777777" w:rsidR="00494871" w:rsidRPr="009C3322" w:rsidRDefault="00494871" w:rsidP="00494871">
      <w:pPr>
        <w:pStyle w:val="Prrafodelista"/>
        <w:widowControl w:val="0"/>
        <w:pBdr>
          <w:top w:val="nil"/>
          <w:left w:val="nil"/>
          <w:bottom w:val="nil"/>
          <w:right w:val="nil"/>
          <w:between w:val="nil"/>
        </w:pBdr>
        <w:ind w:left="0"/>
        <w:jc w:val="both"/>
        <w:rPr>
          <w:rFonts w:asciiTheme="majorHAnsi" w:eastAsia="Calibri" w:hAnsiTheme="majorHAnsi" w:cstheme="majorHAnsi"/>
          <w:sz w:val="22"/>
          <w:szCs w:val="22"/>
        </w:rPr>
      </w:pPr>
    </w:p>
    <w:p w14:paraId="2BF88BCA" w14:textId="77777777" w:rsidR="00494871" w:rsidRPr="009C3322" w:rsidRDefault="00494871" w:rsidP="00494871">
      <w:pPr>
        <w:pStyle w:val="Prrafodelista"/>
        <w:widowControl w:val="0"/>
        <w:numPr>
          <w:ilvl w:val="0"/>
          <w:numId w:val="11"/>
        </w:numPr>
        <w:pBdr>
          <w:top w:val="nil"/>
          <w:left w:val="nil"/>
          <w:bottom w:val="nil"/>
          <w:right w:val="nil"/>
          <w:between w:val="nil"/>
        </w:pBdr>
        <w:ind w:left="0" w:firstLine="0"/>
        <w:jc w:val="both"/>
        <w:rPr>
          <w:rFonts w:asciiTheme="majorHAnsi" w:eastAsia="Calibri" w:hAnsiTheme="majorHAnsi" w:cstheme="majorHAnsi"/>
          <w:sz w:val="22"/>
          <w:szCs w:val="22"/>
        </w:rPr>
      </w:pPr>
      <w:r w:rsidRPr="009C3322">
        <w:rPr>
          <w:rFonts w:asciiTheme="majorHAnsi" w:eastAsia="Calibri" w:hAnsiTheme="majorHAnsi" w:cstheme="majorHAnsi"/>
          <w:sz w:val="22"/>
          <w:szCs w:val="22"/>
        </w:rPr>
        <w:t xml:space="preserve">Los </w:t>
      </w:r>
      <w:r w:rsidRPr="009C3322">
        <w:rPr>
          <w:rFonts w:asciiTheme="majorHAnsi" w:eastAsia="Calibri" w:hAnsiTheme="majorHAnsi" w:cstheme="majorHAnsi"/>
          <w:b/>
          <w:bCs/>
          <w:sz w:val="22"/>
          <w:szCs w:val="22"/>
        </w:rPr>
        <w:t>miembros del equipo emprendedor</w:t>
      </w:r>
      <w:r w:rsidRPr="009C3322">
        <w:rPr>
          <w:rFonts w:asciiTheme="majorHAnsi" w:eastAsia="Calibri" w:hAnsiTheme="majorHAnsi" w:cstheme="majorHAnsi"/>
          <w:sz w:val="22"/>
          <w:szCs w:val="22"/>
        </w:rPr>
        <w:t xml:space="preserve"> deben cumplir los siguientes requisitos: </w:t>
      </w:r>
    </w:p>
    <w:p w14:paraId="79178D36" w14:textId="77777777" w:rsidR="00494871" w:rsidRPr="009C3322" w:rsidRDefault="00494871" w:rsidP="00494871">
      <w:pPr>
        <w:rPr>
          <w:rFonts w:asciiTheme="majorHAnsi" w:eastAsia="Calibri" w:hAnsiTheme="majorHAnsi" w:cstheme="majorHAnsi"/>
          <w:sz w:val="22"/>
          <w:szCs w:val="22"/>
        </w:rPr>
      </w:pPr>
    </w:p>
    <w:p w14:paraId="17913FBD" w14:textId="77777777" w:rsidR="00494871" w:rsidRPr="009C3322" w:rsidRDefault="00494871" w:rsidP="00494871">
      <w:pPr>
        <w:pStyle w:val="Prrafodelista"/>
        <w:widowControl w:val="0"/>
        <w:numPr>
          <w:ilvl w:val="0"/>
          <w:numId w:val="4"/>
        </w:numPr>
        <w:pBdr>
          <w:top w:val="nil"/>
          <w:left w:val="nil"/>
          <w:bottom w:val="nil"/>
          <w:right w:val="nil"/>
          <w:between w:val="nil"/>
        </w:pBdr>
        <w:jc w:val="both"/>
        <w:rPr>
          <w:rFonts w:asciiTheme="majorHAnsi" w:eastAsia="Calibri" w:hAnsiTheme="majorHAnsi" w:cstheme="majorHAnsi"/>
          <w:sz w:val="22"/>
          <w:szCs w:val="22"/>
        </w:rPr>
      </w:pPr>
      <w:r w:rsidRPr="009C3322">
        <w:rPr>
          <w:rFonts w:asciiTheme="majorHAnsi" w:eastAsia="Calibri" w:hAnsiTheme="majorHAnsi" w:cstheme="majorHAnsi"/>
          <w:sz w:val="22"/>
          <w:szCs w:val="22"/>
        </w:rPr>
        <w:t>Ser mayor de edad.</w:t>
      </w:r>
    </w:p>
    <w:p w14:paraId="3A46F786" w14:textId="77777777" w:rsidR="00494871" w:rsidRPr="009C3322" w:rsidRDefault="00494871" w:rsidP="00494871">
      <w:pPr>
        <w:pStyle w:val="Prrafodelista"/>
        <w:widowControl w:val="0"/>
        <w:numPr>
          <w:ilvl w:val="0"/>
          <w:numId w:val="4"/>
        </w:numPr>
        <w:pBdr>
          <w:top w:val="nil"/>
          <w:left w:val="nil"/>
          <w:bottom w:val="nil"/>
          <w:right w:val="nil"/>
          <w:between w:val="nil"/>
        </w:pBdr>
        <w:jc w:val="both"/>
        <w:rPr>
          <w:rFonts w:asciiTheme="majorHAnsi" w:eastAsia="Calibri" w:hAnsiTheme="majorHAnsi" w:cstheme="majorHAnsi"/>
          <w:sz w:val="22"/>
          <w:szCs w:val="22"/>
        </w:rPr>
      </w:pPr>
      <w:r w:rsidRPr="009C3322">
        <w:rPr>
          <w:rFonts w:asciiTheme="majorHAnsi" w:eastAsia="Calibri" w:hAnsiTheme="majorHAnsi" w:cstheme="majorHAnsi"/>
          <w:sz w:val="22"/>
          <w:szCs w:val="22"/>
        </w:rPr>
        <w:t>Contar con DNI o carnet de extranjería vigente, en caso ser extranjero, con pasaporte vigente.</w:t>
      </w:r>
    </w:p>
    <w:p w14:paraId="4F929C8E" w14:textId="77777777" w:rsidR="00494871" w:rsidRPr="009C3322" w:rsidRDefault="00494871" w:rsidP="00494871">
      <w:pPr>
        <w:pStyle w:val="Prrafodelista"/>
        <w:widowControl w:val="0"/>
        <w:numPr>
          <w:ilvl w:val="0"/>
          <w:numId w:val="4"/>
        </w:numPr>
        <w:pBdr>
          <w:top w:val="nil"/>
          <w:left w:val="nil"/>
          <w:bottom w:val="nil"/>
          <w:right w:val="nil"/>
          <w:between w:val="nil"/>
        </w:pBdr>
        <w:jc w:val="both"/>
        <w:rPr>
          <w:rFonts w:asciiTheme="majorHAnsi" w:eastAsia="Calibri" w:hAnsiTheme="majorHAnsi" w:cstheme="majorHAnsi"/>
          <w:sz w:val="22"/>
          <w:szCs w:val="22"/>
        </w:rPr>
      </w:pPr>
      <w:r w:rsidRPr="009C3322">
        <w:rPr>
          <w:rFonts w:asciiTheme="majorHAnsi" w:eastAsia="Calibri" w:hAnsiTheme="majorHAnsi" w:cstheme="majorHAnsi"/>
          <w:sz w:val="22"/>
          <w:szCs w:val="22"/>
        </w:rPr>
        <w:t>No contar con antecedentes penales ni policiales.</w:t>
      </w:r>
    </w:p>
    <w:p w14:paraId="468CDB5D" w14:textId="77777777" w:rsidR="00494871" w:rsidRPr="009C3322" w:rsidRDefault="00494871" w:rsidP="00494871">
      <w:pPr>
        <w:pStyle w:val="Prrafodelista"/>
        <w:widowControl w:val="0"/>
        <w:numPr>
          <w:ilvl w:val="0"/>
          <w:numId w:val="4"/>
        </w:numPr>
        <w:pBdr>
          <w:top w:val="nil"/>
          <w:left w:val="nil"/>
          <w:bottom w:val="nil"/>
          <w:right w:val="nil"/>
          <w:between w:val="nil"/>
        </w:pBdr>
        <w:jc w:val="both"/>
        <w:rPr>
          <w:rFonts w:asciiTheme="majorHAnsi" w:eastAsia="Calibri" w:hAnsiTheme="majorHAnsi" w:cstheme="majorHAnsi"/>
          <w:sz w:val="22"/>
          <w:szCs w:val="22"/>
        </w:rPr>
      </w:pPr>
      <w:r w:rsidRPr="009C3322">
        <w:rPr>
          <w:rFonts w:asciiTheme="majorHAnsi" w:eastAsia="Calibri" w:hAnsiTheme="majorHAnsi" w:cstheme="majorHAnsi"/>
          <w:sz w:val="22"/>
          <w:szCs w:val="22"/>
        </w:rPr>
        <w:t>No tener deudas coactivas con la SUNAT</w:t>
      </w:r>
      <w:r w:rsidRPr="009C3322">
        <w:rPr>
          <w:rFonts w:asciiTheme="majorHAnsi" w:eastAsia="Calibri" w:hAnsiTheme="majorHAnsi" w:cstheme="majorHAnsi"/>
          <w:sz w:val="22"/>
          <w:szCs w:val="22"/>
          <w:vertAlign w:val="superscript"/>
        </w:rPr>
        <w:footnoteReference w:id="1"/>
      </w:r>
      <w:r w:rsidRPr="009C3322">
        <w:rPr>
          <w:rFonts w:asciiTheme="majorHAnsi" w:eastAsia="Calibri" w:hAnsiTheme="majorHAnsi" w:cstheme="majorHAnsi"/>
          <w:sz w:val="22"/>
          <w:szCs w:val="22"/>
        </w:rPr>
        <w:t>, en caso sean peruanos o residentes</w:t>
      </w:r>
    </w:p>
    <w:p w14:paraId="24C84838" w14:textId="77777777" w:rsidR="00494871" w:rsidRPr="009C3322" w:rsidRDefault="00494871" w:rsidP="00494871">
      <w:pPr>
        <w:pStyle w:val="Prrafodelista"/>
        <w:numPr>
          <w:ilvl w:val="0"/>
          <w:numId w:val="4"/>
        </w:numPr>
        <w:jc w:val="both"/>
        <w:rPr>
          <w:rFonts w:asciiTheme="majorHAnsi" w:eastAsia="Calibri" w:hAnsiTheme="majorHAnsi" w:cstheme="majorHAnsi"/>
          <w:sz w:val="22"/>
          <w:szCs w:val="22"/>
        </w:rPr>
      </w:pPr>
      <w:r w:rsidRPr="009C3322">
        <w:rPr>
          <w:rFonts w:asciiTheme="majorHAnsi" w:eastAsia="Calibri" w:hAnsiTheme="majorHAnsi" w:cstheme="majorHAnsi"/>
          <w:sz w:val="22"/>
          <w:szCs w:val="22"/>
        </w:rPr>
        <w:t>No estar sancionado con inhabilitación temporal o definitiva para contratar con el Estado peruano, mientras dure tal sanción.</w:t>
      </w:r>
    </w:p>
    <w:p w14:paraId="3287401F" w14:textId="77777777" w:rsidR="00494871" w:rsidRPr="009C3322" w:rsidRDefault="00494871" w:rsidP="00494871">
      <w:pPr>
        <w:pStyle w:val="Prrafodelista"/>
        <w:numPr>
          <w:ilvl w:val="0"/>
          <w:numId w:val="4"/>
        </w:numPr>
        <w:jc w:val="both"/>
        <w:rPr>
          <w:rFonts w:asciiTheme="majorHAnsi" w:eastAsia="Calibri" w:hAnsiTheme="majorHAnsi" w:cstheme="majorHAnsi"/>
          <w:sz w:val="22"/>
          <w:szCs w:val="22"/>
        </w:rPr>
      </w:pPr>
      <w:r w:rsidRPr="009C3322">
        <w:rPr>
          <w:rFonts w:asciiTheme="majorHAnsi" w:eastAsia="Calibri" w:hAnsiTheme="majorHAnsi" w:cstheme="majorHAnsi"/>
          <w:sz w:val="22"/>
          <w:szCs w:val="22"/>
        </w:rPr>
        <w:t>No haber sido condenado mediante sentencia consentida o ejecutoriada por delitos cometidos en agravio del Estado peruano.</w:t>
      </w:r>
    </w:p>
    <w:p w14:paraId="09B3AC72" w14:textId="77777777" w:rsidR="00494871" w:rsidRPr="009C3322" w:rsidRDefault="00494871" w:rsidP="00494871">
      <w:pPr>
        <w:pStyle w:val="Prrafodelista"/>
        <w:numPr>
          <w:ilvl w:val="0"/>
          <w:numId w:val="4"/>
        </w:numPr>
        <w:jc w:val="both"/>
        <w:rPr>
          <w:rFonts w:asciiTheme="majorHAnsi" w:eastAsia="Calibri" w:hAnsiTheme="majorHAnsi" w:cstheme="majorHAnsi"/>
          <w:sz w:val="22"/>
          <w:szCs w:val="22"/>
        </w:rPr>
      </w:pPr>
      <w:r w:rsidRPr="009C3322">
        <w:rPr>
          <w:rFonts w:asciiTheme="majorHAnsi" w:eastAsia="Calibri" w:hAnsiTheme="majorHAnsi" w:cstheme="majorHAnsi"/>
          <w:sz w:val="22"/>
          <w:szCs w:val="22"/>
        </w:rPr>
        <w:t>No deben estar relacionados con las personas con vínculo laboral de ProInnóvate hasta el cuarto grado de consanguinidad y segundo de afinidad, por razón de matrimonio, unión de hecho o convivencia.</w:t>
      </w:r>
    </w:p>
    <w:p w14:paraId="4CEB5A52" w14:textId="77777777" w:rsidR="00494871" w:rsidRPr="009C3322" w:rsidRDefault="00494871" w:rsidP="00494871">
      <w:pPr>
        <w:pStyle w:val="Prrafodelista"/>
        <w:numPr>
          <w:ilvl w:val="0"/>
          <w:numId w:val="4"/>
        </w:numPr>
        <w:jc w:val="both"/>
        <w:rPr>
          <w:rFonts w:asciiTheme="majorHAnsi" w:eastAsia="Calibri" w:hAnsiTheme="majorHAnsi" w:cstheme="majorHAnsi"/>
          <w:sz w:val="22"/>
          <w:szCs w:val="22"/>
        </w:rPr>
      </w:pPr>
      <w:r w:rsidRPr="009C3322">
        <w:rPr>
          <w:rFonts w:asciiTheme="majorHAnsi" w:eastAsia="Calibri" w:hAnsiTheme="majorHAnsi" w:cstheme="majorHAnsi"/>
          <w:sz w:val="22"/>
          <w:szCs w:val="22"/>
        </w:rPr>
        <w:t>No ejercer una función pública en las Entidades del Estado peruano al momento de la suscripción del contrato</w:t>
      </w:r>
      <w:r w:rsidRPr="00DA4A7C">
        <w:rPr>
          <w:rFonts w:asciiTheme="majorHAnsi" w:eastAsia="Calibri" w:hAnsiTheme="majorHAnsi" w:cstheme="majorHAnsi"/>
          <w:sz w:val="22"/>
          <w:szCs w:val="22"/>
          <w:vertAlign w:val="superscript"/>
        </w:rPr>
        <w:footnoteReference w:id="2"/>
      </w:r>
      <w:r w:rsidRPr="009C3322">
        <w:rPr>
          <w:rFonts w:asciiTheme="majorHAnsi" w:eastAsia="Calibri" w:hAnsiTheme="majorHAnsi" w:cstheme="majorHAnsi"/>
          <w:sz w:val="22"/>
          <w:szCs w:val="22"/>
        </w:rPr>
        <w:t>.</w:t>
      </w:r>
    </w:p>
    <w:p w14:paraId="7BF4CB82" w14:textId="77777777" w:rsidR="00494871" w:rsidRPr="009C3322" w:rsidRDefault="00494871" w:rsidP="00494871">
      <w:pPr>
        <w:pStyle w:val="Prrafodelista"/>
        <w:numPr>
          <w:ilvl w:val="0"/>
          <w:numId w:val="4"/>
        </w:numPr>
        <w:jc w:val="both"/>
        <w:rPr>
          <w:rFonts w:asciiTheme="majorHAnsi" w:eastAsia="Calibri" w:hAnsiTheme="majorHAnsi" w:cstheme="majorHAnsi"/>
          <w:sz w:val="22"/>
          <w:szCs w:val="22"/>
        </w:rPr>
      </w:pPr>
      <w:r w:rsidRPr="009C3322">
        <w:rPr>
          <w:rFonts w:asciiTheme="majorHAnsi" w:eastAsia="Calibri" w:hAnsiTheme="majorHAnsi" w:cstheme="majorHAnsi"/>
          <w:sz w:val="22"/>
          <w:szCs w:val="22"/>
        </w:rPr>
        <w:t>No estar observados por ProInnóvate u otra fuente de financiamiento a la que ProInnóvate tenga acceso.</w:t>
      </w:r>
    </w:p>
    <w:p w14:paraId="7930449E" w14:textId="77777777" w:rsidR="00494871" w:rsidRPr="009C3322" w:rsidRDefault="00494871" w:rsidP="00494871">
      <w:pPr>
        <w:pStyle w:val="Prrafodelista"/>
        <w:widowControl w:val="0"/>
        <w:pBdr>
          <w:top w:val="nil"/>
          <w:left w:val="nil"/>
          <w:bottom w:val="nil"/>
          <w:right w:val="nil"/>
          <w:between w:val="nil"/>
        </w:pBdr>
        <w:ind w:left="0"/>
        <w:jc w:val="both"/>
        <w:rPr>
          <w:rFonts w:asciiTheme="majorHAnsi" w:eastAsia="Calibri" w:hAnsiTheme="majorHAnsi" w:cstheme="majorHAnsi"/>
          <w:sz w:val="22"/>
          <w:szCs w:val="22"/>
        </w:rPr>
      </w:pPr>
      <w:bookmarkStart w:id="2" w:name="_Hlk143783475"/>
    </w:p>
    <w:p w14:paraId="4BC54E1E" w14:textId="77777777" w:rsidR="00494871" w:rsidRDefault="00494871" w:rsidP="00494871">
      <w:pPr>
        <w:pStyle w:val="Prrafodelista"/>
        <w:widowControl w:val="0"/>
        <w:numPr>
          <w:ilvl w:val="0"/>
          <w:numId w:val="11"/>
        </w:numPr>
        <w:pBdr>
          <w:top w:val="nil"/>
          <w:left w:val="nil"/>
          <w:bottom w:val="nil"/>
          <w:right w:val="nil"/>
          <w:between w:val="nil"/>
        </w:pBdr>
        <w:ind w:left="0" w:firstLine="0"/>
        <w:jc w:val="both"/>
        <w:rPr>
          <w:rFonts w:asciiTheme="majorHAnsi" w:eastAsia="Calibri" w:hAnsiTheme="majorHAnsi" w:cstheme="majorHAnsi"/>
          <w:sz w:val="22"/>
          <w:szCs w:val="22"/>
        </w:rPr>
      </w:pPr>
      <w:r>
        <w:rPr>
          <w:rFonts w:asciiTheme="majorHAnsi" w:eastAsia="Calibri" w:hAnsiTheme="majorHAnsi" w:cstheme="majorHAnsi"/>
          <w:sz w:val="22"/>
          <w:szCs w:val="22"/>
        </w:rPr>
        <w:t>La</w:t>
      </w:r>
      <w:r w:rsidRPr="009C3322">
        <w:rPr>
          <w:rFonts w:asciiTheme="majorHAnsi" w:eastAsia="Calibri" w:hAnsiTheme="majorHAnsi" w:cstheme="majorHAnsi"/>
          <w:sz w:val="22"/>
          <w:szCs w:val="22"/>
        </w:rPr>
        <w:t xml:space="preserve"> </w:t>
      </w:r>
      <w:r w:rsidRPr="009C3322">
        <w:rPr>
          <w:rFonts w:asciiTheme="majorHAnsi" w:eastAsia="Calibri" w:hAnsiTheme="majorHAnsi" w:cstheme="majorHAnsi"/>
          <w:b/>
          <w:bCs/>
          <w:sz w:val="22"/>
          <w:szCs w:val="22"/>
        </w:rPr>
        <w:t xml:space="preserve">empresa </w:t>
      </w:r>
      <w:r>
        <w:rPr>
          <w:rFonts w:asciiTheme="majorHAnsi" w:eastAsia="Calibri" w:hAnsiTheme="majorHAnsi" w:cstheme="majorHAnsi"/>
          <w:b/>
          <w:bCs/>
          <w:sz w:val="22"/>
          <w:szCs w:val="22"/>
        </w:rPr>
        <w:t>joven</w:t>
      </w:r>
      <w:r w:rsidRPr="009C3322">
        <w:rPr>
          <w:rFonts w:asciiTheme="majorHAnsi" w:eastAsia="Calibri" w:hAnsiTheme="majorHAnsi" w:cstheme="majorHAnsi"/>
          <w:sz w:val="22"/>
          <w:szCs w:val="22"/>
        </w:rPr>
        <w:t xml:space="preserve">, </w:t>
      </w:r>
      <w:r>
        <w:rPr>
          <w:rFonts w:asciiTheme="majorHAnsi" w:eastAsia="Calibri" w:hAnsiTheme="majorHAnsi" w:cstheme="majorHAnsi"/>
          <w:sz w:val="22"/>
          <w:szCs w:val="22"/>
        </w:rPr>
        <w:t>debe cumplir los siguientes requisitos:</w:t>
      </w:r>
    </w:p>
    <w:p w14:paraId="6B52C451" w14:textId="77777777" w:rsidR="00494871" w:rsidRDefault="00494871" w:rsidP="00494871">
      <w:pPr>
        <w:pStyle w:val="Prrafodelista"/>
        <w:widowControl w:val="0"/>
        <w:pBdr>
          <w:top w:val="nil"/>
          <w:left w:val="nil"/>
          <w:bottom w:val="nil"/>
          <w:right w:val="nil"/>
          <w:between w:val="nil"/>
        </w:pBdr>
        <w:ind w:left="1080"/>
        <w:jc w:val="both"/>
        <w:rPr>
          <w:rFonts w:asciiTheme="majorHAnsi" w:eastAsia="Calibri" w:hAnsiTheme="majorHAnsi" w:cstheme="majorHAnsi"/>
          <w:sz w:val="22"/>
          <w:szCs w:val="22"/>
        </w:rPr>
      </w:pPr>
    </w:p>
    <w:p w14:paraId="61423516" w14:textId="77777777" w:rsidR="00494871" w:rsidRPr="00F1471F" w:rsidRDefault="00494871" w:rsidP="00494871">
      <w:pPr>
        <w:pStyle w:val="Prrafodelista"/>
        <w:widowControl w:val="0"/>
        <w:numPr>
          <w:ilvl w:val="0"/>
          <w:numId w:val="14"/>
        </w:numPr>
        <w:pBdr>
          <w:top w:val="nil"/>
          <w:left w:val="nil"/>
          <w:bottom w:val="nil"/>
          <w:right w:val="nil"/>
          <w:between w:val="nil"/>
        </w:pBdr>
        <w:ind w:left="709" w:hanging="567"/>
        <w:jc w:val="both"/>
        <w:rPr>
          <w:rFonts w:asciiTheme="majorHAnsi" w:eastAsia="Calibri" w:hAnsiTheme="majorHAnsi" w:cstheme="majorHAnsi"/>
          <w:sz w:val="22"/>
          <w:szCs w:val="22"/>
        </w:rPr>
      </w:pPr>
      <w:r w:rsidRPr="00F1471F">
        <w:rPr>
          <w:rFonts w:asciiTheme="majorHAnsi" w:eastAsia="Calibri" w:hAnsiTheme="majorHAnsi" w:cstheme="majorHAnsi"/>
          <w:sz w:val="22"/>
          <w:szCs w:val="22"/>
        </w:rPr>
        <w:t>El Líder Emprendedor debe ser uno de los socios de la empresa</w:t>
      </w:r>
      <w:r w:rsidRPr="00F1471F">
        <w:rPr>
          <w:rFonts w:asciiTheme="majorHAnsi" w:eastAsia="Calibri" w:hAnsiTheme="majorHAnsi" w:cstheme="majorHAnsi"/>
          <w:sz w:val="22"/>
          <w:szCs w:val="22"/>
          <w:vertAlign w:val="superscript"/>
        </w:rPr>
        <w:t xml:space="preserve"> </w:t>
      </w:r>
      <w:r w:rsidRPr="00F1471F">
        <w:rPr>
          <w:rFonts w:asciiTheme="majorHAnsi" w:eastAsia="Calibri" w:hAnsiTheme="majorHAnsi" w:cstheme="majorHAnsi"/>
          <w:sz w:val="22"/>
          <w:szCs w:val="22"/>
        </w:rPr>
        <w:t>y los socios fundadores que sean parte del equipo emprendedor cuenten con al menos 51% de participación en la empresa</w:t>
      </w:r>
      <w:r w:rsidRPr="009C3322">
        <w:rPr>
          <w:rFonts w:eastAsia="Calibri"/>
          <w:vertAlign w:val="superscript"/>
        </w:rPr>
        <w:footnoteReference w:id="3"/>
      </w:r>
      <w:r w:rsidRPr="00F1471F">
        <w:rPr>
          <w:rFonts w:asciiTheme="majorHAnsi" w:eastAsia="Calibri" w:hAnsiTheme="majorHAnsi" w:cstheme="majorHAnsi"/>
          <w:sz w:val="22"/>
          <w:szCs w:val="22"/>
        </w:rPr>
        <w:t>.</w:t>
      </w:r>
    </w:p>
    <w:p w14:paraId="43FB68EE" w14:textId="77777777" w:rsidR="00494871" w:rsidRDefault="00494871" w:rsidP="00494871">
      <w:pPr>
        <w:pStyle w:val="Prrafodelista"/>
        <w:widowControl w:val="0"/>
        <w:numPr>
          <w:ilvl w:val="0"/>
          <w:numId w:val="14"/>
        </w:numPr>
        <w:pBdr>
          <w:top w:val="nil"/>
          <w:left w:val="nil"/>
          <w:bottom w:val="nil"/>
          <w:right w:val="nil"/>
          <w:between w:val="nil"/>
        </w:pBdr>
        <w:ind w:left="709" w:hanging="567"/>
        <w:jc w:val="both"/>
        <w:rPr>
          <w:rFonts w:asciiTheme="majorHAnsi" w:eastAsia="Calibri" w:hAnsiTheme="majorHAnsi" w:cstheme="majorHAnsi"/>
          <w:sz w:val="22"/>
          <w:szCs w:val="22"/>
        </w:rPr>
      </w:pPr>
      <w:r w:rsidRPr="00C22DA0">
        <w:rPr>
          <w:rFonts w:asciiTheme="majorHAnsi" w:eastAsia="Calibri" w:hAnsiTheme="majorHAnsi" w:cstheme="majorHAnsi"/>
          <w:sz w:val="22"/>
          <w:szCs w:val="22"/>
        </w:rPr>
        <w:t>Estar legalmente constituidas en el Perú como una empresa en cualquier modalidad y cuenten con RUC activo y habido.</w:t>
      </w:r>
    </w:p>
    <w:p w14:paraId="1EF5476F" w14:textId="77777777" w:rsidR="00494871" w:rsidRDefault="00494871" w:rsidP="00494871">
      <w:pPr>
        <w:pStyle w:val="Prrafodelista"/>
        <w:widowControl w:val="0"/>
        <w:numPr>
          <w:ilvl w:val="0"/>
          <w:numId w:val="14"/>
        </w:numPr>
        <w:pBdr>
          <w:top w:val="nil"/>
          <w:left w:val="nil"/>
          <w:bottom w:val="nil"/>
          <w:right w:val="nil"/>
          <w:between w:val="nil"/>
        </w:pBdr>
        <w:ind w:left="709" w:hanging="567"/>
        <w:jc w:val="both"/>
        <w:rPr>
          <w:rFonts w:asciiTheme="majorHAnsi" w:eastAsia="Calibri" w:hAnsiTheme="majorHAnsi" w:cstheme="majorHAnsi"/>
          <w:sz w:val="22"/>
          <w:szCs w:val="22"/>
        </w:rPr>
      </w:pPr>
      <w:r w:rsidRPr="00C22DA0">
        <w:rPr>
          <w:rFonts w:asciiTheme="majorHAnsi" w:eastAsia="Calibri" w:hAnsiTheme="majorHAnsi" w:cstheme="majorHAnsi"/>
          <w:sz w:val="22"/>
          <w:szCs w:val="22"/>
        </w:rPr>
        <w:t xml:space="preserve">Contar </w:t>
      </w:r>
      <w:r>
        <w:rPr>
          <w:rFonts w:asciiTheme="majorHAnsi" w:eastAsia="Calibri" w:hAnsiTheme="majorHAnsi" w:cstheme="majorHAnsi"/>
          <w:sz w:val="22"/>
          <w:szCs w:val="22"/>
        </w:rPr>
        <w:t>con mínimo un (01)</w:t>
      </w:r>
      <w:r w:rsidRPr="00C22DA0">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año y </w:t>
      </w:r>
      <w:r w:rsidRPr="00C22DA0">
        <w:rPr>
          <w:rFonts w:asciiTheme="majorHAnsi" w:eastAsia="Calibri" w:hAnsiTheme="majorHAnsi" w:cstheme="majorHAnsi"/>
          <w:sz w:val="22"/>
          <w:szCs w:val="22"/>
        </w:rPr>
        <w:t>máximo con cinco (05) años de operación en el Registro Único de Contribuyentes (RUC) de SUNAT a la fecha de cierre de la convocatoria al concurso.</w:t>
      </w:r>
    </w:p>
    <w:p w14:paraId="42C2200D" w14:textId="77777777" w:rsidR="00494871" w:rsidRPr="003C153B" w:rsidRDefault="00494871" w:rsidP="00494871">
      <w:pPr>
        <w:pStyle w:val="Prrafodelista"/>
        <w:widowControl w:val="0"/>
        <w:numPr>
          <w:ilvl w:val="0"/>
          <w:numId w:val="14"/>
        </w:numPr>
        <w:pBdr>
          <w:top w:val="nil"/>
          <w:left w:val="nil"/>
          <w:bottom w:val="nil"/>
          <w:right w:val="nil"/>
          <w:between w:val="nil"/>
        </w:pBdr>
        <w:ind w:left="709" w:hanging="567"/>
        <w:jc w:val="both"/>
        <w:rPr>
          <w:rFonts w:asciiTheme="majorHAnsi" w:eastAsia="Calibri" w:hAnsiTheme="majorHAnsi" w:cstheme="majorHAnsi"/>
          <w:sz w:val="22"/>
          <w:szCs w:val="22"/>
        </w:rPr>
      </w:pPr>
      <w:r w:rsidRPr="00C22DA0">
        <w:rPr>
          <w:rFonts w:asciiTheme="majorHAnsi" w:eastAsia="Calibri" w:hAnsiTheme="majorHAnsi" w:cstheme="majorHAnsi"/>
          <w:sz w:val="22"/>
          <w:szCs w:val="22"/>
        </w:rPr>
        <w:t xml:space="preserve">Haber tenido ingresos por ventas relacionadas al proyecto presentado </w:t>
      </w:r>
      <w:r>
        <w:rPr>
          <w:rFonts w:asciiTheme="majorHAnsi" w:eastAsia="Calibri" w:hAnsiTheme="majorHAnsi" w:cstheme="majorHAnsi"/>
          <w:sz w:val="22"/>
          <w:szCs w:val="22"/>
        </w:rPr>
        <w:t>de al menos</w:t>
      </w:r>
      <w:r w:rsidRPr="00C22DA0">
        <w:rPr>
          <w:rFonts w:asciiTheme="majorHAnsi" w:eastAsia="Calibri" w:hAnsiTheme="majorHAnsi" w:cstheme="majorHAnsi"/>
          <w:sz w:val="22"/>
          <w:szCs w:val="22"/>
        </w:rPr>
        <w:t xml:space="preserve"> S/ 120,000 (ciento veinte mil soles)</w:t>
      </w:r>
      <w:r>
        <w:rPr>
          <w:rFonts w:asciiTheme="majorHAnsi" w:eastAsia="Calibri" w:hAnsiTheme="majorHAnsi" w:cstheme="majorHAnsi"/>
          <w:sz w:val="22"/>
          <w:szCs w:val="22"/>
        </w:rPr>
        <w:t xml:space="preserve"> y máximo S/ 1,200,000 (un millón doscientos mil soles)</w:t>
      </w:r>
      <w:r w:rsidRPr="00C22DA0">
        <w:rPr>
          <w:rFonts w:asciiTheme="majorHAnsi" w:eastAsia="Calibri" w:hAnsiTheme="majorHAnsi" w:cstheme="majorHAnsi"/>
          <w:sz w:val="22"/>
          <w:szCs w:val="22"/>
        </w:rPr>
        <w:t xml:space="preserve"> </w:t>
      </w:r>
      <w:r>
        <w:rPr>
          <w:rFonts w:asciiTheme="majorHAnsi" w:eastAsia="Calibri" w:hAnsiTheme="majorHAnsi" w:cstheme="majorHAnsi"/>
          <w:sz w:val="22"/>
          <w:szCs w:val="22"/>
        </w:rPr>
        <w:t>sin incluir IGV,</w:t>
      </w:r>
      <w:r w:rsidRPr="00591EE9">
        <w:rPr>
          <w:rFonts w:asciiTheme="majorHAnsi" w:eastAsia="Calibri" w:hAnsiTheme="majorHAnsi" w:cstheme="majorHAnsi"/>
          <w:color w:val="000000" w:themeColor="text1"/>
          <w:sz w:val="22"/>
          <w:szCs w:val="22"/>
        </w:rPr>
        <w:t xml:space="preserve"> durante los 12 últimos meses contados desde la fecha de cierre de convocatoria.</w:t>
      </w:r>
    </w:p>
    <w:p w14:paraId="2C546B70" w14:textId="77777777" w:rsidR="00494871" w:rsidRDefault="00494871" w:rsidP="00494871">
      <w:pPr>
        <w:pStyle w:val="Prrafodelista"/>
        <w:widowControl w:val="0"/>
        <w:pBdr>
          <w:top w:val="nil"/>
          <w:left w:val="nil"/>
          <w:bottom w:val="nil"/>
          <w:right w:val="nil"/>
          <w:between w:val="nil"/>
        </w:pBdr>
        <w:ind w:left="0"/>
        <w:jc w:val="both"/>
        <w:rPr>
          <w:rFonts w:asciiTheme="majorHAnsi" w:eastAsia="Calibri" w:hAnsiTheme="majorHAnsi" w:cstheme="majorHAnsi"/>
          <w:sz w:val="22"/>
          <w:szCs w:val="22"/>
        </w:rPr>
      </w:pPr>
    </w:p>
    <w:p w14:paraId="3DAA83ED" w14:textId="77777777" w:rsidR="00494871" w:rsidRDefault="00494871" w:rsidP="00494871">
      <w:pPr>
        <w:pStyle w:val="Prrafodelista"/>
        <w:widowControl w:val="0"/>
        <w:numPr>
          <w:ilvl w:val="0"/>
          <w:numId w:val="11"/>
        </w:numPr>
        <w:pBdr>
          <w:top w:val="nil"/>
          <w:left w:val="nil"/>
          <w:bottom w:val="nil"/>
          <w:right w:val="nil"/>
          <w:between w:val="nil"/>
        </w:pBdr>
        <w:ind w:left="0" w:firstLine="0"/>
        <w:jc w:val="both"/>
        <w:rPr>
          <w:rFonts w:asciiTheme="majorHAnsi" w:eastAsia="Calibri" w:hAnsiTheme="majorHAnsi" w:cstheme="majorHAnsi"/>
          <w:sz w:val="22"/>
          <w:szCs w:val="22"/>
        </w:rPr>
      </w:pPr>
      <w:r>
        <w:rPr>
          <w:rFonts w:asciiTheme="majorHAnsi" w:eastAsia="Calibri" w:hAnsiTheme="majorHAnsi" w:cstheme="majorHAnsi"/>
          <w:sz w:val="22"/>
          <w:szCs w:val="22"/>
        </w:rPr>
        <w:t>La</w:t>
      </w:r>
      <w:r w:rsidRPr="009C3322">
        <w:rPr>
          <w:rFonts w:asciiTheme="majorHAnsi" w:eastAsia="Calibri" w:hAnsiTheme="majorHAnsi" w:cstheme="majorHAnsi"/>
          <w:sz w:val="22"/>
          <w:szCs w:val="22"/>
        </w:rPr>
        <w:t xml:space="preserve"> </w:t>
      </w:r>
      <w:r w:rsidRPr="009C3322">
        <w:rPr>
          <w:rFonts w:asciiTheme="majorHAnsi" w:eastAsia="Calibri" w:hAnsiTheme="majorHAnsi" w:cstheme="majorHAnsi"/>
          <w:b/>
          <w:bCs/>
          <w:sz w:val="22"/>
          <w:szCs w:val="22"/>
        </w:rPr>
        <w:t xml:space="preserve">empresa </w:t>
      </w:r>
      <w:r>
        <w:rPr>
          <w:rFonts w:asciiTheme="majorHAnsi" w:eastAsia="Calibri" w:hAnsiTheme="majorHAnsi" w:cstheme="majorHAnsi"/>
          <w:b/>
          <w:bCs/>
          <w:sz w:val="22"/>
          <w:szCs w:val="22"/>
        </w:rPr>
        <w:t>joven y su representante legal</w:t>
      </w:r>
      <w:r w:rsidRPr="009C3322">
        <w:rPr>
          <w:rFonts w:asciiTheme="majorHAnsi" w:eastAsia="Calibri" w:hAnsiTheme="majorHAnsi" w:cstheme="majorHAnsi"/>
          <w:sz w:val="22"/>
          <w:szCs w:val="22"/>
        </w:rPr>
        <w:t xml:space="preserve">, </w:t>
      </w:r>
      <w:r>
        <w:rPr>
          <w:rFonts w:asciiTheme="majorHAnsi" w:eastAsia="Calibri" w:hAnsiTheme="majorHAnsi" w:cstheme="majorHAnsi"/>
          <w:sz w:val="22"/>
          <w:szCs w:val="22"/>
        </w:rPr>
        <w:t>debe cumplir los siguientes requisitos:</w:t>
      </w:r>
    </w:p>
    <w:p w14:paraId="5193E593" w14:textId="77777777" w:rsidR="00494871" w:rsidRPr="009C3322" w:rsidRDefault="00494871" w:rsidP="00494871">
      <w:pPr>
        <w:pStyle w:val="Prrafodelista"/>
        <w:widowControl w:val="0"/>
        <w:pBdr>
          <w:top w:val="nil"/>
          <w:left w:val="nil"/>
          <w:bottom w:val="nil"/>
          <w:right w:val="nil"/>
          <w:between w:val="nil"/>
        </w:pBdr>
        <w:ind w:left="0"/>
        <w:jc w:val="both"/>
        <w:rPr>
          <w:rFonts w:asciiTheme="majorHAnsi" w:eastAsia="Calibri" w:hAnsiTheme="majorHAnsi" w:cstheme="majorHAnsi"/>
          <w:sz w:val="22"/>
          <w:szCs w:val="22"/>
        </w:rPr>
      </w:pPr>
    </w:p>
    <w:p w14:paraId="31DB275F" w14:textId="77777777" w:rsidR="00494871" w:rsidRPr="003C153B" w:rsidRDefault="00494871" w:rsidP="00494871">
      <w:pPr>
        <w:pStyle w:val="Prrafodelista"/>
        <w:widowControl w:val="0"/>
        <w:numPr>
          <w:ilvl w:val="0"/>
          <w:numId w:val="12"/>
        </w:numPr>
        <w:pBdr>
          <w:top w:val="nil"/>
          <w:left w:val="nil"/>
          <w:bottom w:val="nil"/>
          <w:right w:val="nil"/>
          <w:between w:val="nil"/>
        </w:pBdr>
        <w:jc w:val="both"/>
        <w:rPr>
          <w:rFonts w:asciiTheme="majorHAnsi" w:eastAsia="Calibri" w:hAnsiTheme="majorHAnsi" w:cstheme="majorHAnsi"/>
          <w:sz w:val="22"/>
          <w:szCs w:val="22"/>
        </w:rPr>
      </w:pPr>
      <w:r w:rsidRPr="003C153B">
        <w:rPr>
          <w:rFonts w:asciiTheme="majorHAnsi" w:eastAsia="Calibri" w:hAnsiTheme="majorHAnsi" w:cstheme="majorHAnsi"/>
          <w:sz w:val="22"/>
          <w:szCs w:val="22"/>
        </w:rPr>
        <w:t>No estar sancionado con inhabilitación temporal o definitiva para contratar con el Estado Peruano, mientras dure tal sanción.</w:t>
      </w:r>
    </w:p>
    <w:p w14:paraId="3F8241BA" w14:textId="77777777" w:rsidR="00494871" w:rsidRDefault="00494871" w:rsidP="00494871">
      <w:pPr>
        <w:pStyle w:val="Prrafodelista"/>
        <w:widowControl w:val="0"/>
        <w:numPr>
          <w:ilvl w:val="0"/>
          <w:numId w:val="12"/>
        </w:numPr>
        <w:pBdr>
          <w:top w:val="nil"/>
          <w:left w:val="nil"/>
          <w:bottom w:val="nil"/>
          <w:right w:val="nil"/>
          <w:between w:val="nil"/>
        </w:pBdr>
        <w:jc w:val="both"/>
        <w:rPr>
          <w:rFonts w:asciiTheme="majorHAnsi" w:eastAsia="Calibri" w:hAnsiTheme="majorHAnsi" w:cstheme="majorHAnsi"/>
          <w:sz w:val="22"/>
          <w:szCs w:val="22"/>
        </w:rPr>
      </w:pPr>
      <w:r w:rsidRPr="003C153B">
        <w:rPr>
          <w:rFonts w:asciiTheme="majorHAnsi" w:eastAsia="Calibri" w:hAnsiTheme="majorHAnsi" w:cstheme="majorHAnsi"/>
          <w:sz w:val="22"/>
          <w:szCs w:val="22"/>
        </w:rPr>
        <w:t>No haya sido sentenciado por delito cometido en agravio del Estado.</w:t>
      </w:r>
    </w:p>
    <w:p w14:paraId="03204AB9" w14:textId="77777777" w:rsidR="00494871" w:rsidRPr="003C153B" w:rsidRDefault="00494871" w:rsidP="00494871">
      <w:pPr>
        <w:pStyle w:val="Prrafodelista"/>
        <w:widowControl w:val="0"/>
        <w:numPr>
          <w:ilvl w:val="0"/>
          <w:numId w:val="12"/>
        </w:numPr>
        <w:pBdr>
          <w:top w:val="nil"/>
          <w:left w:val="nil"/>
          <w:bottom w:val="nil"/>
          <w:right w:val="nil"/>
          <w:between w:val="nil"/>
        </w:pBdr>
        <w:jc w:val="both"/>
        <w:rPr>
          <w:rFonts w:asciiTheme="majorHAnsi" w:eastAsia="Calibri" w:hAnsiTheme="majorHAnsi" w:cstheme="majorHAnsi"/>
          <w:sz w:val="22"/>
          <w:szCs w:val="22"/>
        </w:rPr>
      </w:pPr>
      <w:r w:rsidRPr="003C153B">
        <w:rPr>
          <w:rFonts w:asciiTheme="majorHAnsi" w:eastAsia="Calibri" w:hAnsiTheme="majorHAnsi" w:cstheme="majorHAnsi"/>
          <w:sz w:val="22"/>
          <w:szCs w:val="22"/>
        </w:rPr>
        <w:t>Los socios, apoderados y el representante legal no deben estar relacionados con las personas con vínculo laboral de ProInnóvate hasta el cuarto grado de consanguinidad y</w:t>
      </w:r>
    </w:p>
    <w:p w14:paraId="08DF5FFF" w14:textId="77777777" w:rsidR="00494871" w:rsidRDefault="00494871" w:rsidP="00494871">
      <w:pPr>
        <w:pStyle w:val="Prrafodelista"/>
        <w:widowControl w:val="0"/>
        <w:pBdr>
          <w:top w:val="nil"/>
          <w:left w:val="nil"/>
          <w:bottom w:val="nil"/>
          <w:right w:val="nil"/>
          <w:between w:val="nil"/>
        </w:pBdr>
        <w:jc w:val="both"/>
        <w:rPr>
          <w:rFonts w:asciiTheme="majorHAnsi" w:eastAsia="Calibri" w:hAnsiTheme="majorHAnsi" w:cstheme="majorHAnsi"/>
          <w:sz w:val="22"/>
          <w:szCs w:val="22"/>
        </w:rPr>
      </w:pPr>
      <w:r w:rsidRPr="003C153B">
        <w:rPr>
          <w:rFonts w:asciiTheme="majorHAnsi" w:eastAsia="Calibri" w:hAnsiTheme="majorHAnsi" w:cstheme="majorHAnsi"/>
          <w:sz w:val="22"/>
          <w:szCs w:val="22"/>
        </w:rPr>
        <w:t>segundo de afinidad, por razón de matrimonio, unión de hecho o convivencia.</w:t>
      </w:r>
    </w:p>
    <w:p w14:paraId="7C72635F" w14:textId="77777777" w:rsidR="00494871" w:rsidRPr="003C153B" w:rsidRDefault="00494871" w:rsidP="00494871">
      <w:pPr>
        <w:pStyle w:val="Prrafodelista"/>
        <w:widowControl w:val="0"/>
        <w:numPr>
          <w:ilvl w:val="0"/>
          <w:numId w:val="12"/>
        </w:numPr>
        <w:pBdr>
          <w:top w:val="nil"/>
          <w:left w:val="nil"/>
          <w:bottom w:val="nil"/>
          <w:right w:val="nil"/>
          <w:between w:val="nil"/>
        </w:pBdr>
        <w:jc w:val="both"/>
        <w:rPr>
          <w:rFonts w:asciiTheme="majorHAnsi" w:eastAsia="Calibri" w:hAnsiTheme="majorHAnsi" w:cstheme="majorHAnsi"/>
          <w:sz w:val="22"/>
          <w:szCs w:val="22"/>
        </w:rPr>
      </w:pPr>
      <w:r w:rsidRPr="003C153B">
        <w:rPr>
          <w:rFonts w:asciiTheme="majorHAnsi" w:eastAsia="Calibri" w:hAnsiTheme="majorHAnsi" w:cstheme="majorHAnsi"/>
          <w:sz w:val="22"/>
          <w:szCs w:val="22"/>
        </w:rPr>
        <w:t>No estar sometido a ningún procedimiento previsto en la Ley General del Sistema Concursal, ni en cualquier norma que la sustituya, modifique o complemente.</w:t>
      </w:r>
    </w:p>
    <w:p w14:paraId="4B5B2B03" w14:textId="77777777" w:rsidR="00494871" w:rsidRPr="003C153B" w:rsidRDefault="00494871" w:rsidP="00494871">
      <w:pPr>
        <w:pStyle w:val="Prrafodelista"/>
        <w:widowControl w:val="0"/>
        <w:numPr>
          <w:ilvl w:val="0"/>
          <w:numId w:val="12"/>
        </w:numPr>
        <w:pBdr>
          <w:top w:val="nil"/>
          <w:left w:val="nil"/>
          <w:bottom w:val="nil"/>
          <w:right w:val="nil"/>
          <w:between w:val="nil"/>
        </w:pBdr>
        <w:jc w:val="both"/>
        <w:rPr>
          <w:rFonts w:asciiTheme="majorHAnsi" w:eastAsia="Calibri" w:hAnsiTheme="majorHAnsi" w:cstheme="majorHAnsi"/>
          <w:sz w:val="22"/>
          <w:szCs w:val="22"/>
        </w:rPr>
      </w:pPr>
      <w:r w:rsidRPr="003C153B">
        <w:rPr>
          <w:rFonts w:asciiTheme="majorHAnsi" w:eastAsia="Calibri" w:hAnsiTheme="majorHAnsi" w:cstheme="majorHAnsi"/>
          <w:sz w:val="22"/>
          <w:szCs w:val="22"/>
        </w:rPr>
        <w:lastRenderedPageBreak/>
        <w:t>No estar investigado ni sentenciado por delito contra la administración pública en agravio del Estado peruano.</w:t>
      </w:r>
    </w:p>
    <w:p w14:paraId="038DF839" w14:textId="77777777" w:rsidR="00494871" w:rsidRPr="003C153B" w:rsidRDefault="00494871" w:rsidP="00494871">
      <w:pPr>
        <w:pStyle w:val="Prrafodelista"/>
        <w:widowControl w:val="0"/>
        <w:numPr>
          <w:ilvl w:val="0"/>
          <w:numId w:val="12"/>
        </w:numPr>
        <w:pBdr>
          <w:top w:val="nil"/>
          <w:left w:val="nil"/>
          <w:bottom w:val="nil"/>
          <w:right w:val="nil"/>
          <w:between w:val="nil"/>
        </w:pBdr>
        <w:jc w:val="both"/>
        <w:rPr>
          <w:rFonts w:asciiTheme="majorHAnsi" w:eastAsia="Calibri" w:hAnsiTheme="majorHAnsi" w:cstheme="majorHAnsi"/>
          <w:sz w:val="22"/>
          <w:szCs w:val="22"/>
        </w:rPr>
      </w:pPr>
      <w:r w:rsidRPr="003C153B">
        <w:rPr>
          <w:rFonts w:asciiTheme="majorHAnsi" w:eastAsia="Calibri" w:hAnsiTheme="majorHAnsi" w:cstheme="majorHAnsi"/>
          <w:sz w:val="22"/>
          <w:szCs w:val="22"/>
        </w:rPr>
        <w:t>No se encuentren observados por ProInnóvate u otra fuente de financiamiento a la que</w:t>
      </w:r>
    </w:p>
    <w:p w14:paraId="787845EC" w14:textId="77777777" w:rsidR="00494871" w:rsidRDefault="00494871" w:rsidP="00494871">
      <w:pPr>
        <w:pStyle w:val="Prrafodelista"/>
        <w:widowControl w:val="0"/>
        <w:pBdr>
          <w:top w:val="nil"/>
          <w:left w:val="nil"/>
          <w:bottom w:val="nil"/>
          <w:right w:val="nil"/>
          <w:between w:val="nil"/>
        </w:pBdr>
        <w:jc w:val="both"/>
        <w:rPr>
          <w:rFonts w:asciiTheme="majorHAnsi" w:eastAsia="Calibri" w:hAnsiTheme="majorHAnsi" w:cstheme="majorHAnsi"/>
          <w:sz w:val="22"/>
          <w:szCs w:val="22"/>
        </w:rPr>
      </w:pPr>
      <w:r w:rsidRPr="003C153B">
        <w:rPr>
          <w:rFonts w:asciiTheme="majorHAnsi" w:eastAsia="Calibri" w:hAnsiTheme="majorHAnsi" w:cstheme="majorHAnsi"/>
          <w:sz w:val="22"/>
          <w:szCs w:val="22"/>
        </w:rPr>
        <w:t>se tenga acceso, que descalifica a la Entidad Solicitante por:</w:t>
      </w:r>
    </w:p>
    <w:p w14:paraId="391F56CF" w14:textId="77777777" w:rsidR="00494871" w:rsidRDefault="00494871" w:rsidP="00494871">
      <w:pPr>
        <w:pStyle w:val="Prrafodelista"/>
        <w:widowControl w:val="0"/>
        <w:numPr>
          <w:ilvl w:val="0"/>
          <w:numId w:val="13"/>
        </w:numPr>
        <w:pBdr>
          <w:top w:val="nil"/>
          <w:left w:val="nil"/>
          <w:bottom w:val="nil"/>
          <w:right w:val="nil"/>
          <w:between w:val="nil"/>
        </w:pBdr>
        <w:jc w:val="both"/>
        <w:rPr>
          <w:rFonts w:asciiTheme="majorHAnsi" w:eastAsia="Calibri" w:hAnsiTheme="majorHAnsi" w:cstheme="majorHAnsi"/>
          <w:sz w:val="22"/>
          <w:szCs w:val="22"/>
        </w:rPr>
      </w:pPr>
      <w:r w:rsidRPr="003C153B">
        <w:rPr>
          <w:rFonts w:asciiTheme="majorHAnsi" w:eastAsia="Calibri" w:hAnsiTheme="majorHAnsi" w:cstheme="majorHAnsi"/>
          <w:sz w:val="22"/>
          <w:szCs w:val="22"/>
        </w:rPr>
        <w:t>Un mal desempeño y capacidad de gestión de un proyecto culminado o en</w:t>
      </w:r>
      <w:r>
        <w:rPr>
          <w:rFonts w:asciiTheme="majorHAnsi" w:eastAsia="Calibri" w:hAnsiTheme="majorHAnsi" w:cstheme="majorHAnsi"/>
          <w:sz w:val="22"/>
          <w:szCs w:val="22"/>
        </w:rPr>
        <w:t xml:space="preserve"> </w:t>
      </w:r>
      <w:r w:rsidRPr="003C153B">
        <w:rPr>
          <w:rFonts w:asciiTheme="majorHAnsi" w:eastAsia="Calibri" w:hAnsiTheme="majorHAnsi" w:cstheme="majorHAnsi"/>
          <w:sz w:val="22"/>
          <w:szCs w:val="22"/>
        </w:rPr>
        <w:t>ejecución, ya sea como Entidad Ejecutora o Entidad Asociada.</w:t>
      </w:r>
    </w:p>
    <w:p w14:paraId="02522895" w14:textId="77777777" w:rsidR="00494871" w:rsidRDefault="00494871" w:rsidP="00494871">
      <w:pPr>
        <w:pStyle w:val="Prrafodelista"/>
        <w:widowControl w:val="0"/>
        <w:numPr>
          <w:ilvl w:val="0"/>
          <w:numId w:val="13"/>
        </w:numPr>
        <w:pBdr>
          <w:top w:val="nil"/>
          <w:left w:val="nil"/>
          <w:bottom w:val="nil"/>
          <w:right w:val="nil"/>
          <w:between w:val="nil"/>
        </w:pBdr>
        <w:jc w:val="both"/>
        <w:rPr>
          <w:rFonts w:asciiTheme="majorHAnsi" w:eastAsia="Calibri" w:hAnsiTheme="majorHAnsi" w:cstheme="majorHAnsi"/>
          <w:sz w:val="22"/>
          <w:szCs w:val="22"/>
        </w:rPr>
      </w:pPr>
      <w:r w:rsidRPr="003C153B">
        <w:rPr>
          <w:rFonts w:asciiTheme="majorHAnsi" w:eastAsia="Calibri" w:hAnsiTheme="majorHAnsi" w:cstheme="majorHAnsi"/>
          <w:sz w:val="22"/>
          <w:szCs w:val="22"/>
        </w:rPr>
        <w:t>Haber suscrito un convenio o contrato de Adjudicación de Recursos No</w:t>
      </w:r>
      <w:r>
        <w:rPr>
          <w:rFonts w:asciiTheme="majorHAnsi" w:eastAsia="Calibri" w:hAnsiTheme="majorHAnsi" w:cstheme="majorHAnsi"/>
          <w:sz w:val="22"/>
          <w:szCs w:val="22"/>
        </w:rPr>
        <w:t xml:space="preserve"> </w:t>
      </w:r>
      <w:r w:rsidRPr="003C153B">
        <w:rPr>
          <w:rFonts w:asciiTheme="majorHAnsi" w:eastAsia="Calibri" w:hAnsiTheme="majorHAnsi" w:cstheme="majorHAnsi"/>
          <w:sz w:val="22"/>
          <w:szCs w:val="22"/>
        </w:rPr>
        <w:t>Reembolsables (RNR) y haberse resuelto por incumplimiento de la entidad</w:t>
      </w:r>
      <w:r>
        <w:rPr>
          <w:rFonts w:asciiTheme="majorHAnsi" w:eastAsia="Calibri" w:hAnsiTheme="majorHAnsi" w:cstheme="majorHAnsi"/>
          <w:sz w:val="22"/>
          <w:szCs w:val="22"/>
        </w:rPr>
        <w:t xml:space="preserve"> </w:t>
      </w:r>
      <w:r w:rsidRPr="003C153B">
        <w:rPr>
          <w:rFonts w:asciiTheme="majorHAnsi" w:eastAsia="Calibri" w:hAnsiTheme="majorHAnsi" w:cstheme="majorHAnsi"/>
          <w:sz w:val="22"/>
          <w:szCs w:val="22"/>
        </w:rPr>
        <w:t>solicitante.</w:t>
      </w:r>
    </w:p>
    <w:p w14:paraId="24EB8664" w14:textId="77777777" w:rsidR="00494871" w:rsidRPr="003C153B" w:rsidRDefault="00494871" w:rsidP="00494871">
      <w:pPr>
        <w:pStyle w:val="Prrafodelista"/>
        <w:widowControl w:val="0"/>
        <w:numPr>
          <w:ilvl w:val="0"/>
          <w:numId w:val="13"/>
        </w:numPr>
        <w:pBdr>
          <w:top w:val="nil"/>
          <w:left w:val="nil"/>
          <w:bottom w:val="nil"/>
          <w:right w:val="nil"/>
          <w:between w:val="nil"/>
        </w:pBdr>
        <w:jc w:val="both"/>
        <w:rPr>
          <w:rFonts w:asciiTheme="majorHAnsi" w:eastAsia="Calibri" w:hAnsiTheme="majorHAnsi" w:cstheme="majorHAnsi"/>
          <w:sz w:val="22"/>
          <w:szCs w:val="22"/>
        </w:rPr>
      </w:pPr>
      <w:r w:rsidRPr="003C153B">
        <w:rPr>
          <w:rFonts w:asciiTheme="majorHAnsi" w:eastAsia="Calibri" w:hAnsiTheme="majorHAnsi" w:cstheme="majorHAnsi"/>
          <w:sz w:val="22"/>
          <w:szCs w:val="22"/>
        </w:rPr>
        <w:t>Encontrarse observada por haber desistido del proceso de adjudicación después de</w:t>
      </w:r>
      <w:r>
        <w:rPr>
          <w:rFonts w:asciiTheme="majorHAnsi" w:eastAsia="Calibri" w:hAnsiTheme="majorHAnsi" w:cstheme="majorHAnsi"/>
          <w:sz w:val="22"/>
          <w:szCs w:val="22"/>
        </w:rPr>
        <w:t xml:space="preserve"> </w:t>
      </w:r>
      <w:r w:rsidRPr="003C153B">
        <w:rPr>
          <w:rFonts w:asciiTheme="majorHAnsi" w:eastAsia="Calibri" w:hAnsiTheme="majorHAnsi" w:cstheme="majorHAnsi"/>
          <w:sz w:val="22"/>
          <w:szCs w:val="22"/>
        </w:rPr>
        <w:t>haber sido evaluado y aprobado en concursos anteriores.</w:t>
      </w:r>
    </w:p>
    <w:p w14:paraId="7A8F6EE3" w14:textId="77777777" w:rsidR="00494871" w:rsidRPr="003C153B" w:rsidRDefault="00494871" w:rsidP="00494871">
      <w:pPr>
        <w:pStyle w:val="Prrafodelista"/>
        <w:widowControl w:val="0"/>
        <w:numPr>
          <w:ilvl w:val="0"/>
          <w:numId w:val="13"/>
        </w:numPr>
        <w:pBdr>
          <w:top w:val="nil"/>
          <w:left w:val="nil"/>
          <w:bottom w:val="nil"/>
          <w:right w:val="nil"/>
          <w:between w:val="nil"/>
        </w:pBdr>
        <w:jc w:val="both"/>
        <w:rPr>
          <w:rFonts w:asciiTheme="majorHAnsi" w:eastAsia="Calibri" w:hAnsiTheme="majorHAnsi" w:cstheme="majorHAnsi"/>
          <w:sz w:val="22"/>
          <w:szCs w:val="22"/>
        </w:rPr>
      </w:pPr>
      <w:r w:rsidRPr="003C153B">
        <w:rPr>
          <w:rFonts w:asciiTheme="majorHAnsi" w:eastAsia="Calibri" w:hAnsiTheme="majorHAnsi" w:cstheme="majorHAnsi"/>
          <w:sz w:val="22"/>
          <w:szCs w:val="22"/>
        </w:rPr>
        <w:t>Haber generado por omisión de la entidad ejecutora, la anulación de un</w:t>
      </w:r>
      <w:r>
        <w:rPr>
          <w:rFonts w:asciiTheme="majorHAnsi" w:eastAsia="Calibri" w:hAnsiTheme="majorHAnsi" w:cstheme="majorHAnsi"/>
          <w:sz w:val="22"/>
          <w:szCs w:val="22"/>
        </w:rPr>
        <w:t xml:space="preserve"> </w:t>
      </w:r>
      <w:r w:rsidRPr="003C153B">
        <w:rPr>
          <w:rFonts w:asciiTheme="majorHAnsi" w:eastAsia="Calibri" w:hAnsiTheme="majorHAnsi" w:cstheme="majorHAnsi"/>
          <w:sz w:val="22"/>
          <w:szCs w:val="22"/>
        </w:rPr>
        <w:t>contrato/convenio.</w:t>
      </w:r>
    </w:p>
    <w:p w14:paraId="6B9DF306" w14:textId="77777777" w:rsidR="00494871" w:rsidRPr="00494871" w:rsidRDefault="00494871" w:rsidP="00494871">
      <w:pPr>
        <w:pStyle w:val="Ttulo1"/>
        <w:spacing w:before="0" w:after="0"/>
        <w:jc w:val="center"/>
        <w:rPr>
          <w:rFonts w:asciiTheme="majorHAnsi" w:hAnsiTheme="majorHAnsi" w:cstheme="majorHAnsi"/>
          <w:b w:val="0"/>
          <w:bCs/>
          <w:i/>
          <w:iCs/>
          <w:sz w:val="22"/>
          <w:szCs w:val="22"/>
        </w:rPr>
      </w:pPr>
      <w:r w:rsidRPr="00494871">
        <w:rPr>
          <w:rFonts w:asciiTheme="majorHAnsi" w:eastAsia="Calibri" w:hAnsiTheme="majorHAnsi" w:cstheme="majorHAnsi"/>
          <w:b w:val="0"/>
          <w:bCs/>
          <w:i/>
          <w:iCs/>
          <w:sz w:val="22"/>
          <w:szCs w:val="22"/>
        </w:rPr>
        <w:br w:type="page"/>
      </w:r>
      <w:bookmarkStart w:id="3" w:name="_Toc144981593"/>
      <w:bookmarkEnd w:id="2"/>
      <w:r w:rsidRPr="00494871">
        <w:rPr>
          <w:rStyle w:val="Ttulodellibro"/>
          <w:rFonts w:asciiTheme="majorHAnsi" w:eastAsia="Calibri" w:hAnsiTheme="majorHAnsi" w:cstheme="majorHAnsi"/>
          <w:b/>
          <w:bCs w:val="0"/>
          <w:i w:val="0"/>
          <w:iCs w:val="0"/>
          <w:sz w:val="22"/>
          <w:szCs w:val="22"/>
        </w:rPr>
        <w:lastRenderedPageBreak/>
        <w:t>Anexo 2: Orientaciones para el presupuesto - gastos elegibles y no elegibles</w:t>
      </w:r>
      <w:bookmarkEnd w:id="3"/>
    </w:p>
    <w:p w14:paraId="25811110" w14:textId="77777777" w:rsidR="00494871" w:rsidRPr="009C3322" w:rsidRDefault="00494871" w:rsidP="00494871">
      <w:pPr>
        <w:jc w:val="both"/>
        <w:rPr>
          <w:rFonts w:asciiTheme="majorHAnsi" w:eastAsia="Calibri" w:hAnsiTheme="majorHAnsi" w:cstheme="majorHAnsi"/>
          <w:sz w:val="22"/>
          <w:szCs w:val="22"/>
        </w:rPr>
      </w:pPr>
    </w:p>
    <w:p w14:paraId="63784B3B" w14:textId="77777777" w:rsidR="00494871" w:rsidRPr="009C3322" w:rsidRDefault="00494871" w:rsidP="00494871">
      <w:pPr>
        <w:pBdr>
          <w:top w:val="nil"/>
          <w:left w:val="nil"/>
          <w:bottom w:val="nil"/>
          <w:right w:val="nil"/>
          <w:between w:val="nil"/>
        </w:pBdr>
        <w:shd w:val="clear" w:color="auto" w:fill="F2F2F2" w:themeFill="background1" w:themeFillShade="F2"/>
        <w:jc w:val="both"/>
        <w:rPr>
          <w:rFonts w:asciiTheme="majorHAnsi" w:eastAsia="Calibri" w:hAnsiTheme="majorHAnsi" w:cstheme="majorHAnsi"/>
          <w:sz w:val="22"/>
          <w:szCs w:val="22"/>
        </w:rPr>
      </w:pPr>
      <w:r w:rsidRPr="009C3322">
        <w:rPr>
          <w:rFonts w:asciiTheme="majorHAnsi" w:eastAsia="Calibri" w:hAnsiTheme="majorHAnsi" w:cstheme="majorHAnsi"/>
          <w:b/>
          <w:sz w:val="22"/>
          <w:szCs w:val="22"/>
        </w:rPr>
        <w:t>GASTOS ELEGIBLES</w:t>
      </w:r>
    </w:p>
    <w:p w14:paraId="18EB0E06" w14:textId="77777777" w:rsidR="00494871" w:rsidRPr="009C3322" w:rsidRDefault="00494871" w:rsidP="00494871">
      <w:pPr>
        <w:jc w:val="both"/>
        <w:rPr>
          <w:rFonts w:asciiTheme="majorHAnsi" w:eastAsia="Calibri" w:hAnsiTheme="majorHAnsi" w:cstheme="majorHAnsi"/>
          <w:sz w:val="22"/>
          <w:szCs w:val="22"/>
        </w:rPr>
      </w:pPr>
    </w:p>
    <w:p w14:paraId="0C85ABC3" w14:textId="77777777" w:rsidR="00494871" w:rsidRPr="009C3322" w:rsidRDefault="00494871" w:rsidP="00494871">
      <w:pPr>
        <w:jc w:val="both"/>
        <w:rPr>
          <w:rFonts w:asciiTheme="majorHAnsi" w:eastAsia="Calibri" w:hAnsiTheme="majorHAnsi" w:cstheme="majorHAnsi"/>
          <w:sz w:val="22"/>
          <w:szCs w:val="22"/>
        </w:rPr>
      </w:pPr>
      <w:r w:rsidRPr="009C3322">
        <w:rPr>
          <w:rFonts w:asciiTheme="majorHAnsi" w:eastAsia="Calibri" w:hAnsiTheme="majorHAnsi" w:cstheme="majorHAnsi"/>
          <w:sz w:val="22"/>
          <w:szCs w:val="22"/>
        </w:rPr>
        <w:t xml:space="preserve">Los gastos elegibles son aquellos que pueden ser incluidos dentro del proyecto, </w:t>
      </w:r>
      <w:r>
        <w:rPr>
          <w:rFonts w:asciiTheme="majorHAnsi" w:eastAsia="Calibri" w:hAnsiTheme="majorHAnsi" w:cstheme="majorHAnsi"/>
          <w:sz w:val="22"/>
          <w:szCs w:val="22"/>
        </w:rPr>
        <w:t>tanto</w:t>
      </w:r>
      <w:r w:rsidRPr="009C3322">
        <w:rPr>
          <w:rFonts w:asciiTheme="majorHAnsi" w:eastAsia="Calibri" w:hAnsiTheme="majorHAnsi" w:cstheme="majorHAnsi"/>
          <w:sz w:val="22"/>
          <w:szCs w:val="22"/>
        </w:rPr>
        <w:t xml:space="preserve"> si se financian con aporte de ProInnóvate (RNR) o con aporte del equipo emprendedor.</w:t>
      </w:r>
      <w:r>
        <w:rPr>
          <w:rFonts w:asciiTheme="majorHAnsi" w:eastAsia="Calibri" w:hAnsiTheme="majorHAnsi" w:cstheme="majorHAnsi"/>
          <w:sz w:val="22"/>
          <w:szCs w:val="22"/>
        </w:rPr>
        <w:t xml:space="preserve"> </w:t>
      </w:r>
      <w:r w:rsidRPr="009C3322">
        <w:rPr>
          <w:rFonts w:asciiTheme="majorHAnsi" w:eastAsia="Calibri" w:hAnsiTheme="majorHAnsi" w:cstheme="majorHAnsi"/>
          <w:sz w:val="22"/>
          <w:szCs w:val="22"/>
        </w:rPr>
        <w:t>Es importante notar lo siguiente:</w:t>
      </w:r>
    </w:p>
    <w:p w14:paraId="7F1B186D" w14:textId="77777777" w:rsidR="00494871" w:rsidRPr="009C3322" w:rsidRDefault="00494871" w:rsidP="00494871">
      <w:pPr>
        <w:ind w:left="720" w:hanging="720"/>
        <w:jc w:val="both"/>
        <w:rPr>
          <w:rFonts w:asciiTheme="majorHAnsi" w:eastAsia="Calibri" w:hAnsiTheme="majorHAnsi" w:cstheme="majorHAnsi"/>
          <w:sz w:val="22"/>
          <w:szCs w:val="22"/>
        </w:rPr>
      </w:pPr>
    </w:p>
    <w:p w14:paraId="4D84FD77" w14:textId="77777777" w:rsidR="00494871" w:rsidRPr="009C3322" w:rsidRDefault="00494871" w:rsidP="00494871">
      <w:pPr>
        <w:numPr>
          <w:ilvl w:val="0"/>
          <w:numId w:val="5"/>
        </w:numPr>
        <w:pBdr>
          <w:top w:val="nil"/>
          <w:left w:val="nil"/>
          <w:bottom w:val="nil"/>
          <w:right w:val="nil"/>
          <w:between w:val="nil"/>
        </w:pBdr>
        <w:ind w:left="709"/>
        <w:jc w:val="both"/>
        <w:rPr>
          <w:rFonts w:asciiTheme="majorHAnsi" w:hAnsiTheme="majorHAnsi" w:cstheme="majorHAnsi"/>
          <w:sz w:val="22"/>
          <w:szCs w:val="22"/>
        </w:rPr>
      </w:pPr>
      <w:r w:rsidRPr="009C3322">
        <w:rPr>
          <w:rFonts w:asciiTheme="majorHAnsi" w:eastAsia="Calibri" w:hAnsiTheme="majorHAnsi" w:cstheme="majorHAnsi"/>
          <w:sz w:val="22"/>
          <w:szCs w:val="22"/>
        </w:rPr>
        <w:t>Las partidas y gastos es todo aquello que puede ser financiado como parte del proyecto. La partida es una categoría (por ejemplo “</w:t>
      </w:r>
      <w:r w:rsidRPr="009C3322">
        <w:rPr>
          <w:rFonts w:asciiTheme="majorHAnsi" w:eastAsia="Calibri" w:hAnsiTheme="majorHAnsi" w:cstheme="majorHAnsi"/>
          <w:i/>
          <w:sz w:val="22"/>
          <w:szCs w:val="22"/>
        </w:rPr>
        <w:t>Honorarios</w:t>
      </w:r>
      <w:r w:rsidRPr="009C3322">
        <w:rPr>
          <w:rFonts w:asciiTheme="majorHAnsi" w:eastAsia="Calibri" w:hAnsiTheme="majorHAnsi" w:cstheme="majorHAnsi"/>
          <w:sz w:val="22"/>
          <w:szCs w:val="22"/>
        </w:rPr>
        <w:t>”) que comprende diferentes tipos de gastos (por ejemplo “</w:t>
      </w:r>
      <w:r w:rsidRPr="009C3322">
        <w:rPr>
          <w:rFonts w:asciiTheme="majorHAnsi" w:eastAsia="Calibri" w:hAnsiTheme="majorHAnsi" w:cstheme="majorHAnsi"/>
          <w:i/>
          <w:sz w:val="22"/>
          <w:szCs w:val="22"/>
        </w:rPr>
        <w:t>Incentivos</w:t>
      </w:r>
      <w:r w:rsidRPr="009C3322">
        <w:rPr>
          <w:rFonts w:asciiTheme="majorHAnsi" w:eastAsia="Calibri" w:hAnsiTheme="majorHAnsi" w:cstheme="majorHAnsi"/>
          <w:sz w:val="22"/>
          <w:szCs w:val="22"/>
        </w:rPr>
        <w:t>”).</w:t>
      </w:r>
    </w:p>
    <w:p w14:paraId="01FC9F6B" w14:textId="77777777" w:rsidR="00494871" w:rsidRPr="009C3322" w:rsidRDefault="00494871" w:rsidP="00494871">
      <w:pPr>
        <w:pBdr>
          <w:top w:val="nil"/>
          <w:left w:val="nil"/>
          <w:bottom w:val="nil"/>
          <w:right w:val="nil"/>
          <w:between w:val="nil"/>
        </w:pBdr>
        <w:ind w:left="709"/>
        <w:jc w:val="both"/>
        <w:rPr>
          <w:rFonts w:asciiTheme="majorHAnsi" w:hAnsiTheme="majorHAnsi" w:cstheme="majorHAnsi"/>
          <w:sz w:val="22"/>
          <w:szCs w:val="22"/>
        </w:rPr>
      </w:pPr>
    </w:p>
    <w:p w14:paraId="537C6F89" w14:textId="77777777" w:rsidR="00494871" w:rsidRPr="009C3322" w:rsidRDefault="00494871" w:rsidP="00494871">
      <w:pPr>
        <w:numPr>
          <w:ilvl w:val="0"/>
          <w:numId w:val="5"/>
        </w:numPr>
        <w:pBdr>
          <w:top w:val="nil"/>
          <w:left w:val="nil"/>
          <w:bottom w:val="nil"/>
          <w:right w:val="nil"/>
          <w:between w:val="nil"/>
        </w:pBdr>
        <w:ind w:left="709"/>
        <w:jc w:val="both"/>
        <w:rPr>
          <w:rFonts w:asciiTheme="majorHAnsi" w:hAnsiTheme="majorHAnsi" w:cstheme="majorHAnsi"/>
          <w:sz w:val="22"/>
          <w:szCs w:val="22"/>
        </w:rPr>
      </w:pPr>
      <w:r w:rsidRPr="009C3322">
        <w:rPr>
          <w:rFonts w:asciiTheme="majorHAnsi" w:eastAsia="Calibri" w:hAnsiTheme="majorHAnsi" w:cstheme="majorHAnsi"/>
          <w:sz w:val="22"/>
          <w:szCs w:val="22"/>
        </w:rPr>
        <w:t>Los Recursos No Reembolsables (RNR) son el financiamiento otorgado por ProInnóvate a cada proyecto, está compuesto por:</w:t>
      </w:r>
    </w:p>
    <w:p w14:paraId="67CFC64B" w14:textId="77777777" w:rsidR="00494871" w:rsidRPr="009C3322" w:rsidRDefault="00494871" w:rsidP="00494871">
      <w:pPr>
        <w:pStyle w:val="Prrafodelista"/>
        <w:rPr>
          <w:rFonts w:asciiTheme="majorHAnsi" w:hAnsiTheme="majorHAnsi" w:cstheme="majorHAnsi"/>
          <w:sz w:val="22"/>
          <w:szCs w:val="22"/>
        </w:rPr>
      </w:pPr>
    </w:p>
    <w:p w14:paraId="28F70ED4" w14:textId="77777777" w:rsidR="00494871" w:rsidRPr="009C3322" w:rsidRDefault="00494871" w:rsidP="00494871">
      <w:pPr>
        <w:numPr>
          <w:ilvl w:val="1"/>
          <w:numId w:val="5"/>
        </w:numPr>
        <w:pBdr>
          <w:top w:val="nil"/>
          <w:left w:val="nil"/>
          <w:bottom w:val="nil"/>
          <w:right w:val="nil"/>
          <w:between w:val="nil"/>
        </w:pBdr>
        <w:jc w:val="both"/>
        <w:rPr>
          <w:rFonts w:asciiTheme="majorHAnsi" w:hAnsiTheme="majorHAnsi" w:cstheme="majorHAnsi"/>
          <w:sz w:val="22"/>
          <w:szCs w:val="22"/>
        </w:rPr>
      </w:pPr>
      <w:r w:rsidRPr="009C3322">
        <w:rPr>
          <w:rFonts w:asciiTheme="majorHAnsi" w:hAnsiTheme="majorHAnsi" w:cstheme="majorHAnsi"/>
          <w:sz w:val="22"/>
          <w:szCs w:val="22"/>
        </w:rPr>
        <w:t xml:space="preserve">Capital Semilla, hasta por un máximo de </w:t>
      </w:r>
      <w:r w:rsidRPr="009C3322">
        <w:rPr>
          <w:rFonts w:asciiTheme="majorHAnsi" w:eastAsia="Calibri" w:hAnsiTheme="majorHAnsi" w:cstheme="majorHAnsi"/>
          <w:sz w:val="22"/>
          <w:szCs w:val="22"/>
        </w:rPr>
        <w:t xml:space="preserve">S/ </w:t>
      </w:r>
      <w:r>
        <w:rPr>
          <w:rFonts w:asciiTheme="majorHAnsi" w:eastAsia="Calibri" w:hAnsiTheme="majorHAnsi" w:cstheme="majorHAnsi"/>
          <w:sz w:val="22"/>
          <w:szCs w:val="22"/>
        </w:rPr>
        <w:t>14</w:t>
      </w:r>
      <w:r w:rsidRPr="009C3322">
        <w:rPr>
          <w:rFonts w:asciiTheme="majorHAnsi" w:eastAsia="Calibri" w:hAnsiTheme="majorHAnsi" w:cstheme="majorHAnsi"/>
          <w:sz w:val="22"/>
          <w:szCs w:val="22"/>
        </w:rPr>
        <w:t>0,000.00 (</w:t>
      </w:r>
      <w:r>
        <w:rPr>
          <w:rFonts w:asciiTheme="majorHAnsi" w:eastAsia="Calibri" w:hAnsiTheme="majorHAnsi" w:cstheme="majorHAnsi"/>
          <w:sz w:val="22"/>
          <w:szCs w:val="22"/>
        </w:rPr>
        <w:t>ciento cuarenta</w:t>
      </w:r>
      <w:r w:rsidRPr="009C3322">
        <w:rPr>
          <w:rFonts w:asciiTheme="majorHAnsi" w:eastAsia="Calibri" w:hAnsiTheme="majorHAnsi" w:cstheme="majorHAnsi"/>
          <w:sz w:val="22"/>
          <w:szCs w:val="22"/>
        </w:rPr>
        <w:t xml:space="preserve"> mil y 00/10 soles)</w:t>
      </w:r>
    </w:p>
    <w:p w14:paraId="29009DDA" w14:textId="77777777" w:rsidR="00494871" w:rsidRPr="009C3322" w:rsidRDefault="00494871" w:rsidP="00494871">
      <w:pPr>
        <w:numPr>
          <w:ilvl w:val="1"/>
          <w:numId w:val="5"/>
        </w:numPr>
        <w:pBdr>
          <w:top w:val="nil"/>
          <w:left w:val="nil"/>
          <w:bottom w:val="nil"/>
          <w:right w:val="nil"/>
          <w:between w:val="nil"/>
        </w:pBdr>
        <w:jc w:val="both"/>
        <w:rPr>
          <w:rFonts w:asciiTheme="majorHAnsi" w:hAnsiTheme="majorHAnsi" w:cstheme="majorHAnsi"/>
          <w:sz w:val="22"/>
          <w:szCs w:val="22"/>
        </w:rPr>
      </w:pPr>
      <w:r w:rsidRPr="009C3322">
        <w:rPr>
          <w:rFonts w:asciiTheme="majorHAnsi" w:eastAsia="Calibri" w:hAnsiTheme="majorHAnsi" w:cstheme="majorHAnsi"/>
          <w:sz w:val="22"/>
          <w:szCs w:val="22"/>
        </w:rPr>
        <w:t xml:space="preserve">Asignación a incubadora o aceleradora, por S/ </w:t>
      </w:r>
      <w:r>
        <w:rPr>
          <w:rFonts w:asciiTheme="majorHAnsi" w:eastAsia="Calibri" w:hAnsiTheme="majorHAnsi" w:cstheme="majorHAnsi"/>
          <w:sz w:val="22"/>
          <w:szCs w:val="22"/>
        </w:rPr>
        <w:t>10</w:t>
      </w:r>
      <w:r w:rsidRPr="009C3322">
        <w:rPr>
          <w:rFonts w:asciiTheme="majorHAnsi" w:eastAsia="Calibri" w:hAnsiTheme="majorHAnsi" w:cstheme="majorHAnsi"/>
          <w:sz w:val="22"/>
          <w:szCs w:val="22"/>
        </w:rPr>
        <w:t>,000.00 (</w:t>
      </w:r>
      <w:r>
        <w:rPr>
          <w:rFonts w:asciiTheme="majorHAnsi" w:eastAsia="Calibri" w:hAnsiTheme="majorHAnsi" w:cstheme="majorHAnsi"/>
          <w:sz w:val="22"/>
          <w:szCs w:val="22"/>
        </w:rPr>
        <w:t>diez</w:t>
      </w:r>
      <w:r w:rsidRPr="009C3322">
        <w:rPr>
          <w:rFonts w:asciiTheme="majorHAnsi" w:eastAsia="Calibri" w:hAnsiTheme="majorHAnsi" w:cstheme="majorHAnsi"/>
          <w:sz w:val="22"/>
          <w:szCs w:val="22"/>
        </w:rPr>
        <w:t xml:space="preserve"> mil y 00/10 soles)</w:t>
      </w:r>
    </w:p>
    <w:p w14:paraId="17B48EF0" w14:textId="77777777" w:rsidR="00494871" w:rsidRPr="009C3322" w:rsidRDefault="00494871" w:rsidP="00494871">
      <w:pPr>
        <w:pBdr>
          <w:top w:val="nil"/>
          <w:left w:val="nil"/>
          <w:bottom w:val="nil"/>
          <w:right w:val="nil"/>
          <w:between w:val="nil"/>
        </w:pBdr>
        <w:ind w:left="709"/>
        <w:jc w:val="both"/>
        <w:rPr>
          <w:rFonts w:asciiTheme="majorHAnsi" w:eastAsia="Calibri" w:hAnsiTheme="majorHAnsi" w:cstheme="majorHAnsi"/>
          <w:sz w:val="22"/>
          <w:szCs w:val="22"/>
        </w:rPr>
      </w:pPr>
    </w:p>
    <w:p w14:paraId="04DC3F65" w14:textId="77777777" w:rsidR="00494871" w:rsidRPr="009C3322" w:rsidRDefault="00494871" w:rsidP="00494871">
      <w:pPr>
        <w:numPr>
          <w:ilvl w:val="0"/>
          <w:numId w:val="5"/>
        </w:numPr>
        <w:pBdr>
          <w:top w:val="nil"/>
          <w:left w:val="nil"/>
          <w:bottom w:val="nil"/>
          <w:right w:val="nil"/>
          <w:between w:val="nil"/>
        </w:pBdr>
        <w:ind w:left="709"/>
        <w:jc w:val="both"/>
        <w:rPr>
          <w:rFonts w:asciiTheme="majorHAnsi" w:hAnsiTheme="majorHAnsi" w:cstheme="majorHAnsi"/>
          <w:sz w:val="22"/>
          <w:szCs w:val="22"/>
        </w:rPr>
      </w:pPr>
      <w:r w:rsidRPr="009C3322">
        <w:rPr>
          <w:rFonts w:asciiTheme="majorHAnsi" w:eastAsia="Calibri" w:hAnsiTheme="majorHAnsi" w:cstheme="majorHAnsi"/>
          <w:sz w:val="22"/>
          <w:szCs w:val="22"/>
        </w:rPr>
        <w:t>El aporte de los equipos emprendedores será monetario y no monetario.  E</w:t>
      </w:r>
      <w:r w:rsidRPr="009C3322">
        <w:rPr>
          <w:rStyle w:val="normaltextrun"/>
          <w:rFonts w:asciiTheme="majorHAnsi" w:hAnsiTheme="majorHAnsi" w:cstheme="majorHAnsi"/>
          <w:color w:val="000000"/>
          <w:sz w:val="22"/>
          <w:szCs w:val="22"/>
          <w:bdr w:val="none" w:sz="0" w:space="0" w:color="auto" w:frame="1"/>
        </w:rPr>
        <w:t xml:space="preserve">l </w:t>
      </w:r>
      <w:r>
        <w:rPr>
          <w:rStyle w:val="normaltextrun"/>
          <w:rFonts w:asciiTheme="majorHAnsi" w:hAnsiTheme="majorHAnsi" w:cstheme="majorHAnsi"/>
          <w:color w:val="000000"/>
          <w:sz w:val="22"/>
          <w:szCs w:val="22"/>
          <w:bdr w:val="none" w:sz="0" w:space="0" w:color="auto" w:frame="1"/>
        </w:rPr>
        <w:t>aporte</w:t>
      </w:r>
      <w:r w:rsidRPr="009C3322">
        <w:rPr>
          <w:rStyle w:val="normaltextrun"/>
          <w:rFonts w:asciiTheme="majorHAnsi" w:hAnsiTheme="majorHAnsi" w:cstheme="majorHAnsi"/>
          <w:color w:val="000000"/>
          <w:sz w:val="22"/>
          <w:szCs w:val="22"/>
          <w:bdr w:val="none" w:sz="0" w:space="0" w:color="auto" w:frame="1"/>
        </w:rPr>
        <w:t xml:space="preserve"> no monetario consiste en la valorización de recursos asignados temporalmente a las actividades del proyecto.</w:t>
      </w:r>
    </w:p>
    <w:p w14:paraId="1078ADA2" w14:textId="77777777" w:rsidR="00494871" w:rsidRPr="009C3322" w:rsidRDefault="00494871" w:rsidP="00494871">
      <w:pPr>
        <w:pBdr>
          <w:top w:val="nil"/>
          <w:left w:val="nil"/>
          <w:bottom w:val="nil"/>
          <w:right w:val="nil"/>
          <w:between w:val="nil"/>
        </w:pBdr>
        <w:jc w:val="both"/>
        <w:rPr>
          <w:rFonts w:asciiTheme="majorHAnsi" w:hAnsiTheme="majorHAnsi" w:cstheme="majorHAnsi"/>
          <w:sz w:val="22"/>
          <w:szCs w:val="22"/>
        </w:rPr>
      </w:pPr>
    </w:p>
    <w:p w14:paraId="00A9CC37" w14:textId="77777777" w:rsidR="00494871" w:rsidRPr="009C3322" w:rsidRDefault="00494871" w:rsidP="00494871">
      <w:pPr>
        <w:jc w:val="both"/>
        <w:rPr>
          <w:rFonts w:asciiTheme="majorHAnsi" w:eastAsia="Calibri" w:hAnsiTheme="majorHAnsi" w:cstheme="majorHAnsi"/>
          <w:sz w:val="22"/>
          <w:szCs w:val="22"/>
        </w:rPr>
      </w:pPr>
      <w:r w:rsidRPr="009C3322">
        <w:rPr>
          <w:rFonts w:asciiTheme="majorHAnsi" w:eastAsia="Calibri" w:hAnsiTheme="majorHAnsi" w:cstheme="majorHAnsi"/>
          <w:sz w:val="22"/>
          <w:szCs w:val="22"/>
        </w:rPr>
        <w:t>A continuación, se presentan las partidas que pueden ser financiadas como parte del proyecto.</w:t>
      </w:r>
    </w:p>
    <w:p w14:paraId="0D0BFB7A" w14:textId="77777777" w:rsidR="00494871" w:rsidRPr="009C3322" w:rsidRDefault="00494871" w:rsidP="00494871">
      <w:pPr>
        <w:jc w:val="both"/>
        <w:rPr>
          <w:rFonts w:asciiTheme="majorHAnsi" w:eastAsia="Calibri" w:hAnsiTheme="majorHAnsi" w:cstheme="majorHAnsi"/>
          <w:sz w:val="22"/>
          <w:szCs w:val="22"/>
        </w:rPr>
      </w:pP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6525"/>
      </w:tblGrid>
      <w:tr w:rsidR="00494871" w:rsidRPr="009C3322" w14:paraId="7F89F25E" w14:textId="77777777" w:rsidTr="0079271A">
        <w:trPr>
          <w:trHeight w:val="58"/>
          <w:jc w:val="center"/>
        </w:trPr>
        <w:tc>
          <w:tcPr>
            <w:tcW w:w="2122" w:type="dxa"/>
            <w:shd w:val="clear" w:color="auto" w:fill="BFBFBF" w:themeFill="background1" w:themeFillShade="BF"/>
            <w:vAlign w:val="center"/>
          </w:tcPr>
          <w:p w14:paraId="1FBB3238" w14:textId="77777777" w:rsidR="00494871" w:rsidRPr="009C3322" w:rsidRDefault="00494871" w:rsidP="0079271A">
            <w:pPr>
              <w:ind w:left="22"/>
              <w:jc w:val="both"/>
              <w:rPr>
                <w:rFonts w:asciiTheme="majorHAnsi" w:eastAsia="Calibri" w:hAnsiTheme="majorHAnsi" w:cstheme="majorHAnsi"/>
                <w:sz w:val="22"/>
                <w:szCs w:val="22"/>
              </w:rPr>
            </w:pPr>
            <w:r w:rsidRPr="009C3322">
              <w:rPr>
                <w:rFonts w:asciiTheme="majorHAnsi" w:eastAsia="Calibri" w:hAnsiTheme="majorHAnsi" w:cstheme="majorHAnsi"/>
                <w:b/>
                <w:sz w:val="22"/>
                <w:szCs w:val="22"/>
              </w:rPr>
              <w:t>Partida Presupuestal</w:t>
            </w:r>
          </w:p>
        </w:tc>
        <w:tc>
          <w:tcPr>
            <w:tcW w:w="6525" w:type="dxa"/>
            <w:shd w:val="clear" w:color="auto" w:fill="BFBFBF" w:themeFill="background1" w:themeFillShade="BF"/>
            <w:vAlign w:val="center"/>
          </w:tcPr>
          <w:p w14:paraId="6B82447A" w14:textId="77777777" w:rsidR="00494871" w:rsidRPr="009C3322" w:rsidRDefault="00494871" w:rsidP="0079271A">
            <w:pPr>
              <w:jc w:val="both"/>
              <w:rPr>
                <w:rFonts w:asciiTheme="majorHAnsi" w:eastAsia="Calibri" w:hAnsiTheme="majorHAnsi" w:cstheme="majorHAnsi"/>
                <w:sz w:val="22"/>
                <w:szCs w:val="22"/>
              </w:rPr>
            </w:pPr>
            <w:r w:rsidRPr="009C3322">
              <w:rPr>
                <w:rFonts w:asciiTheme="majorHAnsi" w:eastAsia="Calibri" w:hAnsiTheme="majorHAnsi" w:cstheme="majorHAnsi"/>
                <w:b/>
                <w:sz w:val="22"/>
                <w:szCs w:val="22"/>
              </w:rPr>
              <w:t>Descripción del gasto</w:t>
            </w:r>
          </w:p>
        </w:tc>
      </w:tr>
      <w:tr w:rsidR="00494871" w:rsidRPr="009C3322" w14:paraId="005123EA" w14:textId="77777777" w:rsidTr="0079271A">
        <w:trPr>
          <w:trHeight w:val="140"/>
          <w:jc w:val="center"/>
        </w:trPr>
        <w:tc>
          <w:tcPr>
            <w:tcW w:w="8647" w:type="dxa"/>
            <w:gridSpan w:val="2"/>
            <w:shd w:val="clear" w:color="auto" w:fill="F2F2F2" w:themeFill="background1" w:themeFillShade="F2"/>
            <w:vAlign w:val="center"/>
          </w:tcPr>
          <w:p w14:paraId="6A23F3E9" w14:textId="77777777" w:rsidR="00494871" w:rsidRPr="009C3322" w:rsidRDefault="00494871" w:rsidP="00494871">
            <w:pPr>
              <w:numPr>
                <w:ilvl w:val="0"/>
                <w:numId w:val="1"/>
              </w:numPr>
              <w:pBdr>
                <w:top w:val="nil"/>
                <w:left w:val="nil"/>
                <w:bottom w:val="nil"/>
                <w:right w:val="nil"/>
                <w:between w:val="nil"/>
              </w:pBdr>
              <w:shd w:val="clear" w:color="auto" w:fill="F2F2F2" w:themeFill="background1" w:themeFillShade="F2"/>
              <w:jc w:val="both"/>
              <w:rPr>
                <w:rFonts w:asciiTheme="majorHAnsi" w:eastAsia="Calibri" w:hAnsiTheme="majorHAnsi" w:cstheme="majorHAnsi"/>
                <w:sz w:val="22"/>
                <w:szCs w:val="22"/>
              </w:rPr>
            </w:pPr>
            <w:r w:rsidRPr="009C3322">
              <w:rPr>
                <w:rFonts w:asciiTheme="majorHAnsi" w:eastAsia="Calibri" w:hAnsiTheme="majorHAnsi" w:cstheme="majorHAnsi"/>
                <w:b/>
                <w:sz w:val="22"/>
                <w:szCs w:val="22"/>
              </w:rPr>
              <w:t xml:space="preserve">Honorarios </w:t>
            </w:r>
          </w:p>
        </w:tc>
      </w:tr>
      <w:tr w:rsidR="00494871" w:rsidRPr="009C3322" w14:paraId="0A26C0A5" w14:textId="77777777" w:rsidTr="0079271A">
        <w:trPr>
          <w:trHeight w:val="1250"/>
          <w:jc w:val="center"/>
        </w:trPr>
        <w:tc>
          <w:tcPr>
            <w:tcW w:w="2122" w:type="dxa"/>
          </w:tcPr>
          <w:p w14:paraId="43DB7B8F" w14:textId="77777777" w:rsidR="00494871" w:rsidRPr="009C3322" w:rsidRDefault="00494871" w:rsidP="0079271A">
            <w:pPr>
              <w:tabs>
                <w:tab w:val="left" w:pos="426"/>
              </w:tabs>
              <w:rPr>
                <w:rFonts w:asciiTheme="majorHAnsi" w:eastAsia="Calibri" w:hAnsiTheme="majorHAnsi" w:cstheme="majorHAnsi"/>
                <w:sz w:val="22"/>
                <w:szCs w:val="22"/>
              </w:rPr>
            </w:pPr>
            <w:r w:rsidRPr="009C3322">
              <w:rPr>
                <w:rFonts w:asciiTheme="majorHAnsi" w:eastAsia="Calibri" w:hAnsiTheme="majorHAnsi" w:cstheme="majorHAnsi"/>
                <w:sz w:val="22"/>
                <w:szCs w:val="22"/>
              </w:rPr>
              <w:t>Honorarios para el Equipo Emprendedor</w:t>
            </w:r>
          </w:p>
        </w:tc>
        <w:tc>
          <w:tcPr>
            <w:tcW w:w="6525" w:type="dxa"/>
          </w:tcPr>
          <w:p w14:paraId="561FF597" w14:textId="77777777" w:rsidR="00494871" w:rsidRPr="009C3322" w:rsidRDefault="00494871" w:rsidP="00494871">
            <w:pPr>
              <w:pStyle w:val="Prrafodelista"/>
              <w:widowControl w:val="0"/>
              <w:numPr>
                <w:ilvl w:val="4"/>
                <w:numId w:val="2"/>
              </w:numPr>
              <w:tabs>
                <w:tab w:val="left" w:pos="315"/>
              </w:tabs>
              <w:ind w:left="315"/>
              <w:rPr>
                <w:rFonts w:asciiTheme="majorHAnsi" w:hAnsiTheme="majorHAnsi" w:cstheme="majorHAnsi"/>
                <w:sz w:val="22"/>
                <w:szCs w:val="22"/>
              </w:rPr>
            </w:pPr>
            <w:r w:rsidRPr="009C3322">
              <w:rPr>
                <w:rFonts w:asciiTheme="majorHAnsi" w:eastAsia="Calibri" w:hAnsiTheme="majorHAnsi" w:cstheme="majorHAnsi"/>
                <w:sz w:val="22"/>
                <w:szCs w:val="22"/>
              </w:rPr>
              <w:t>Los honorarios del líder y/o equipo emprendedor podrán ser cubiertos con RNR. Adicionalmente, la dedicación del equipo emprendedor puede ser considerada como aporte no monetario.</w:t>
            </w:r>
          </w:p>
          <w:p w14:paraId="231D8583" w14:textId="77777777" w:rsidR="00494871" w:rsidRPr="009C3322" w:rsidRDefault="00494871" w:rsidP="00494871">
            <w:pPr>
              <w:pStyle w:val="Prrafodelista"/>
              <w:widowControl w:val="0"/>
              <w:numPr>
                <w:ilvl w:val="4"/>
                <w:numId w:val="2"/>
              </w:numPr>
              <w:tabs>
                <w:tab w:val="left" w:pos="315"/>
              </w:tabs>
              <w:ind w:left="315"/>
              <w:rPr>
                <w:rFonts w:asciiTheme="majorHAnsi" w:eastAsia="Calibri" w:hAnsiTheme="majorHAnsi" w:cstheme="majorHAnsi"/>
                <w:sz w:val="22"/>
                <w:szCs w:val="22"/>
              </w:rPr>
            </w:pPr>
            <w:r w:rsidRPr="009C3322">
              <w:rPr>
                <w:rFonts w:asciiTheme="majorHAnsi" w:eastAsia="Calibri" w:hAnsiTheme="majorHAnsi" w:cstheme="majorHAnsi"/>
                <w:sz w:val="22"/>
                <w:szCs w:val="22"/>
              </w:rPr>
              <w:t xml:space="preserve">Beneficios laborales del equipo emprendedor, CTS y cualquier otro tipo de beneficio laboral sólo como aporte monetario. </w:t>
            </w:r>
          </w:p>
          <w:p w14:paraId="3E97BC65" w14:textId="77777777" w:rsidR="00494871" w:rsidRPr="009C3322" w:rsidRDefault="00494871" w:rsidP="00494871">
            <w:pPr>
              <w:pStyle w:val="Prrafodelista"/>
              <w:widowControl w:val="0"/>
              <w:numPr>
                <w:ilvl w:val="4"/>
                <w:numId w:val="2"/>
              </w:numPr>
              <w:tabs>
                <w:tab w:val="left" w:pos="315"/>
              </w:tabs>
              <w:ind w:left="315"/>
              <w:rPr>
                <w:rFonts w:asciiTheme="majorHAnsi" w:eastAsia="Calibri" w:hAnsiTheme="majorHAnsi" w:cstheme="majorHAnsi"/>
                <w:sz w:val="22"/>
                <w:szCs w:val="22"/>
              </w:rPr>
            </w:pPr>
            <w:r w:rsidRPr="009C3322">
              <w:rPr>
                <w:rFonts w:asciiTheme="majorHAnsi" w:eastAsia="Calibri" w:hAnsiTheme="majorHAnsi" w:cstheme="majorHAnsi"/>
                <w:sz w:val="22"/>
                <w:szCs w:val="22"/>
              </w:rPr>
              <w:t xml:space="preserve">Los gastos de honorarios para el equipo emprendedor no pueden superar el 40% del Capital Semilla. </w:t>
            </w:r>
          </w:p>
          <w:p w14:paraId="5E23454F" w14:textId="77777777" w:rsidR="00494871" w:rsidRPr="009C3322" w:rsidRDefault="00494871" w:rsidP="0079271A">
            <w:pPr>
              <w:widowControl w:val="0"/>
              <w:ind w:left="300"/>
              <w:rPr>
                <w:rFonts w:asciiTheme="majorHAnsi" w:hAnsiTheme="majorHAnsi" w:cstheme="majorHAnsi"/>
                <w:sz w:val="22"/>
                <w:szCs w:val="22"/>
              </w:rPr>
            </w:pPr>
          </w:p>
        </w:tc>
      </w:tr>
      <w:tr w:rsidR="00494871" w:rsidRPr="009C3322" w14:paraId="57CE6D89" w14:textId="77777777" w:rsidTr="0079271A">
        <w:trPr>
          <w:trHeight w:val="58"/>
          <w:jc w:val="center"/>
        </w:trPr>
        <w:tc>
          <w:tcPr>
            <w:tcW w:w="8647" w:type="dxa"/>
            <w:gridSpan w:val="2"/>
            <w:shd w:val="clear" w:color="auto" w:fill="F2F2F2" w:themeFill="background1" w:themeFillShade="F2"/>
          </w:tcPr>
          <w:p w14:paraId="0BB91E5C" w14:textId="77777777" w:rsidR="00494871" w:rsidRPr="009C3322" w:rsidRDefault="00494871" w:rsidP="00494871">
            <w:pPr>
              <w:numPr>
                <w:ilvl w:val="0"/>
                <w:numId w:val="1"/>
              </w:numPr>
              <w:pBdr>
                <w:top w:val="nil"/>
                <w:left w:val="nil"/>
                <w:bottom w:val="nil"/>
                <w:right w:val="nil"/>
                <w:between w:val="nil"/>
              </w:pBdr>
              <w:jc w:val="both"/>
              <w:rPr>
                <w:rFonts w:asciiTheme="majorHAnsi" w:eastAsia="Calibri" w:hAnsiTheme="majorHAnsi" w:cstheme="majorHAnsi"/>
                <w:sz w:val="22"/>
                <w:szCs w:val="22"/>
              </w:rPr>
            </w:pPr>
            <w:r w:rsidRPr="009C3322">
              <w:rPr>
                <w:rFonts w:asciiTheme="majorHAnsi" w:eastAsia="Calibri" w:hAnsiTheme="majorHAnsi" w:cstheme="majorHAnsi"/>
                <w:b/>
                <w:sz w:val="22"/>
                <w:szCs w:val="22"/>
              </w:rPr>
              <w:t>Materiales e insumos</w:t>
            </w:r>
          </w:p>
        </w:tc>
      </w:tr>
      <w:tr w:rsidR="00494871" w:rsidRPr="009C3322" w14:paraId="7F1B88A5" w14:textId="77777777" w:rsidTr="0079271A">
        <w:trPr>
          <w:trHeight w:val="405"/>
          <w:jc w:val="center"/>
        </w:trPr>
        <w:tc>
          <w:tcPr>
            <w:tcW w:w="2122" w:type="dxa"/>
          </w:tcPr>
          <w:p w14:paraId="254D10DD" w14:textId="77777777" w:rsidR="00494871" w:rsidRPr="009C3322" w:rsidRDefault="00494871" w:rsidP="0079271A">
            <w:pPr>
              <w:widowControl w:val="0"/>
              <w:rPr>
                <w:rFonts w:asciiTheme="majorHAnsi" w:eastAsia="Calibri" w:hAnsiTheme="majorHAnsi" w:cstheme="majorHAnsi"/>
                <w:sz w:val="22"/>
                <w:szCs w:val="22"/>
              </w:rPr>
            </w:pPr>
            <w:r w:rsidRPr="009C3322">
              <w:rPr>
                <w:rFonts w:asciiTheme="majorHAnsi" w:eastAsia="Calibri" w:hAnsiTheme="majorHAnsi" w:cstheme="majorHAnsi"/>
                <w:sz w:val="22"/>
                <w:szCs w:val="22"/>
              </w:rPr>
              <w:t xml:space="preserve">Materiales e insumos para las actividades del proyecto </w:t>
            </w:r>
          </w:p>
        </w:tc>
        <w:tc>
          <w:tcPr>
            <w:tcW w:w="6525" w:type="dxa"/>
          </w:tcPr>
          <w:p w14:paraId="188CBDF0" w14:textId="77777777" w:rsidR="00494871" w:rsidRPr="009C3322" w:rsidRDefault="00494871" w:rsidP="00494871">
            <w:pPr>
              <w:pStyle w:val="Prrafodelista"/>
              <w:widowControl w:val="0"/>
              <w:numPr>
                <w:ilvl w:val="4"/>
                <w:numId w:val="2"/>
              </w:numPr>
              <w:tabs>
                <w:tab w:val="left" w:pos="315"/>
              </w:tabs>
              <w:ind w:left="315"/>
              <w:rPr>
                <w:rFonts w:asciiTheme="majorHAnsi" w:hAnsiTheme="majorHAnsi" w:cstheme="majorHAnsi"/>
                <w:sz w:val="22"/>
                <w:szCs w:val="22"/>
              </w:rPr>
            </w:pPr>
            <w:r w:rsidRPr="009C3322">
              <w:rPr>
                <w:rFonts w:asciiTheme="majorHAnsi" w:eastAsia="Calibri" w:hAnsiTheme="majorHAnsi" w:cstheme="majorHAnsi"/>
                <w:sz w:val="22"/>
                <w:szCs w:val="22"/>
              </w:rPr>
              <w:t>Adquisición de los materiales e insumos para las actividades del proyecto.</w:t>
            </w:r>
          </w:p>
          <w:p w14:paraId="6A5F56E2" w14:textId="77777777" w:rsidR="00494871" w:rsidRPr="009C3322" w:rsidRDefault="00494871" w:rsidP="00494871">
            <w:pPr>
              <w:pStyle w:val="Prrafodelista"/>
              <w:widowControl w:val="0"/>
              <w:numPr>
                <w:ilvl w:val="4"/>
                <w:numId w:val="2"/>
              </w:numPr>
              <w:tabs>
                <w:tab w:val="left" w:pos="315"/>
              </w:tabs>
              <w:ind w:left="315"/>
              <w:rPr>
                <w:rFonts w:asciiTheme="majorHAnsi" w:hAnsiTheme="majorHAnsi" w:cstheme="majorHAnsi"/>
                <w:sz w:val="22"/>
                <w:szCs w:val="22"/>
              </w:rPr>
            </w:pPr>
            <w:r w:rsidRPr="009C3322">
              <w:rPr>
                <w:rFonts w:asciiTheme="majorHAnsi" w:eastAsia="Calibri" w:hAnsiTheme="majorHAnsi" w:cstheme="majorHAnsi"/>
                <w:sz w:val="22"/>
                <w:szCs w:val="22"/>
              </w:rPr>
              <w:t>Pueden financiarse con RNR y aporte monetario o no monetario del equipo. No existe restricción de montos o porcentajes.</w:t>
            </w:r>
          </w:p>
          <w:p w14:paraId="66950CDE" w14:textId="77777777" w:rsidR="00494871" w:rsidRPr="009C3322" w:rsidRDefault="00494871" w:rsidP="0079271A">
            <w:pPr>
              <w:widowControl w:val="0"/>
              <w:pBdr>
                <w:top w:val="nil"/>
                <w:left w:val="nil"/>
                <w:bottom w:val="nil"/>
                <w:right w:val="nil"/>
                <w:between w:val="nil"/>
              </w:pBdr>
              <w:tabs>
                <w:tab w:val="left" w:pos="315"/>
              </w:tabs>
              <w:rPr>
                <w:rFonts w:asciiTheme="majorHAnsi" w:eastAsia="Calibri" w:hAnsiTheme="majorHAnsi" w:cstheme="majorHAnsi"/>
                <w:sz w:val="22"/>
                <w:szCs w:val="22"/>
              </w:rPr>
            </w:pPr>
          </w:p>
        </w:tc>
      </w:tr>
      <w:tr w:rsidR="00494871" w:rsidRPr="009C3322" w14:paraId="2C81DC40" w14:textId="77777777" w:rsidTr="0079271A">
        <w:trPr>
          <w:trHeight w:val="405"/>
          <w:jc w:val="center"/>
        </w:trPr>
        <w:tc>
          <w:tcPr>
            <w:tcW w:w="2122" w:type="dxa"/>
          </w:tcPr>
          <w:p w14:paraId="5E5626A3" w14:textId="77777777" w:rsidR="00494871" w:rsidRPr="009C3322" w:rsidRDefault="00494871" w:rsidP="0079271A">
            <w:pPr>
              <w:widowControl w:val="0"/>
              <w:rPr>
                <w:rFonts w:asciiTheme="majorHAnsi" w:eastAsia="Calibri" w:hAnsiTheme="majorHAnsi" w:cstheme="majorHAnsi"/>
                <w:sz w:val="22"/>
                <w:szCs w:val="22"/>
              </w:rPr>
            </w:pPr>
            <w:r w:rsidRPr="009C3322">
              <w:rPr>
                <w:rFonts w:asciiTheme="majorHAnsi" w:eastAsia="Calibri" w:hAnsiTheme="majorHAnsi" w:cstheme="majorHAnsi"/>
                <w:sz w:val="22"/>
                <w:szCs w:val="22"/>
              </w:rPr>
              <w:t>Material bibliográfico y bases de datos especializadas</w:t>
            </w:r>
          </w:p>
        </w:tc>
        <w:tc>
          <w:tcPr>
            <w:tcW w:w="6525" w:type="dxa"/>
          </w:tcPr>
          <w:p w14:paraId="2A152F6E" w14:textId="77777777" w:rsidR="00494871" w:rsidRPr="009C3322" w:rsidRDefault="00494871" w:rsidP="00494871">
            <w:pPr>
              <w:pStyle w:val="Prrafodelista"/>
              <w:widowControl w:val="0"/>
              <w:numPr>
                <w:ilvl w:val="4"/>
                <w:numId w:val="2"/>
              </w:numPr>
              <w:tabs>
                <w:tab w:val="left" w:pos="315"/>
              </w:tabs>
              <w:ind w:left="315"/>
              <w:rPr>
                <w:rFonts w:asciiTheme="majorHAnsi" w:eastAsia="Calibri" w:hAnsiTheme="majorHAnsi" w:cstheme="majorHAnsi"/>
                <w:sz w:val="22"/>
                <w:szCs w:val="22"/>
              </w:rPr>
            </w:pPr>
            <w:r w:rsidRPr="009C3322">
              <w:rPr>
                <w:rFonts w:asciiTheme="majorHAnsi" w:eastAsia="Calibri" w:hAnsiTheme="majorHAnsi" w:cstheme="majorHAnsi"/>
                <w:sz w:val="22"/>
                <w:szCs w:val="22"/>
              </w:rPr>
              <w:t>Adquisición o suscripción a bases de datos especializadas y a redes de información necesarias para el proyecto, en formato físico o electrónico. Sólo podrá contratarse la suscripción como máximo por el tiempo del proyecto.</w:t>
            </w:r>
          </w:p>
          <w:p w14:paraId="09C95E3D" w14:textId="77777777" w:rsidR="00494871" w:rsidRDefault="00494871" w:rsidP="00494871">
            <w:pPr>
              <w:pStyle w:val="Prrafodelista"/>
              <w:widowControl w:val="0"/>
              <w:numPr>
                <w:ilvl w:val="4"/>
                <w:numId w:val="2"/>
              </w:numPr>
              <w:tabs>
                <w:tab w:val="left" w:pos="315"/>
              </w:tabs>
              <w:ind w:left="315"/>
              <w:rPr>
                <w:rFonts w:asciiTheme="majorHAnsi" w:eastAsia="Calibri" w:hAnsiTheme="majorHAnsi" w:cstheme="majorHAnsi"/>
                <w:sz w:val="22"/>
                <w:szCs w:val="22"/>
              </w:rPr>
            </w:pPr>
            <w:r w:rsidRPr="009C3322">
              <w:rPr>
                <w:rFonts w:asciiTheme="majorHAnsi" w:eastAsia="Calibri" w:hAnsiTheme="majorHAnsi" w:cstheme="majorHAnsi"/>
                <w:sz w:val="22"/>
                <w:szCs w:val="22"/>
              </w:rPr>
              <w:t>Pueden financiarse con RNR y aporte monetario o no monetario del equipo. No existe límite de contratación.</w:t>
            </w:r>
          </w:p>
          <w:p w14:paraId="0D310462" w14:textId="77777777" w:rsidR="00494871" w:rsidRPr="009C3322" w:rsidRDefault="00494871" w:rsidP="0079271A">
            <w:pPr>
              <w:pStyle w:val="Prrafodelista"/>
              <w:widowControl w:val="0"/>
              <w:tabs>
                <w:tab w:val="left" w:pos="315"/>
              </w:tabs>
              <w:ind w:left="315"/>
              <w:rPr>
                <w:rFonts w:asciiTheme="majorHAnsi" w:eastAsia="Calibri" w:hAnsiTheme="majorHAnsi" w:cstheme="majorHAnsi"/>
                <w:sz w:val="22"/>
                <w:szCs w:val="22"/>
              </w:rPr>
            </w:pPr>
          </w:p>
        </w:tc>
      </w:tr>
      <w:tr w:rsidR="00494871" w:rsidRPr="009C3322" w14:paraId="3876BA09" w14:textId="77777777" w:rsidTr="0079271A">
        <w:trPr>
          <w:trHeight w:val="300"/>
          <w:jc w:val="center"/>
        </w:trPr>
        <w:tc>
          <w:tcPr>
            <w:tcW w:w="8647" w:type="dxa"/>
            <w:gridSpan w:val="2"/>
            <w:shd w:val="clear" w:color="auto" w:fill="F2F2F2" w:themeFill="background1" w:themeFillShade="F2"/>
          </w:tcPr>
          <w:p w14:paraId="0CEB4304" w14:textId="77777777" w:rsidR="00494871" w:rsidRPr="009C3322" w:rsidRDefault="00494871" w:rsidP="00494871">
            <w:pPr>
              <w:numPr>
                <w:ilvl w:val="0"/>
                <w:numId w:val="1"/>
              </w:numPr>
              <w:pBdr>
                <w:top w:val="nil"/>
                <w:left w:val="nil"/>
                <w:bottom w:val="nil"/>
                <w:right w:val="nil"/>
                <w:between w:val="nil"/>
              </w:pBdr>
              <w:jc w:val="both"/>
              <w:rPr>
                <w:rFonts w:asciiTheme="majorHAnsi" w:eastAsia="Calibri" w:hAnsiTheme="majorHAnsi" w:cstheme="majorHAnsi"/>
                <w:sz w:val="22"/>
                <w:szCs w:val="22"/>
              </w:rPr>
            </w:pPr>
            <w:r w:rsidRPr="009C3322">
              <w:rPr>
                <w:rFonts w:asciiTheme="majorHAnsi" w:eastAsia="Calibri" w:hAnsiTheme="majorHAnsi" w:cstheme="majorHAnsi"/>
                <w:b/>
                <w:sz w:val="22"/>
                <w:szCs w:val="22"/>
              </w:rPr>
              <w:t>Consultorías especializadas</w:t>
            </w:r>
          </w:p>
        </w:tc>
      </w:tr>
      <w:tr w:rsidR="00494871" w:rsidRPr="009C3322" w14:paraId="2C52563F" w14:textId="77777777" w:rsidTr="0079271A">
        <w:trPr>
          <w:trHeight w:val="58"/>
          <w:jc w:val="center"/>
        </w:trPr>
        <w:tc>
          <w:tcPr>
            <w:tcW w:w="2122" w:type="dxa"/>
            <w:shd w:val="clear" w:color="auto" w:fill="FFFFFF" w:themeFill="background1"/>
          </w:tcPr>
          <w:p w14:paraId="3DCBACFB" w14:textId="77777777" w:rsidR="00494871" w:rsidRPr="009C3322" w:rsidRDefault="00494871" w:rsidP="0079271A">
            <w:pPr>
              <w:widowControl w:val="0"/>
              <w:rPr>
                <w:rFonts w:asciiTheme="majorHAnsi" w:eastAsia="Calibri" w:hAnsiTheme="majorHAnsi" w:cstheme="majorHAnsi"/>
                <w:sz w:val="22"/>
                <w:szCs w:val="22"/>
              </w:rPr>
            </w:pPr>
            <w:r w:rsidRPr="009C3322">
              <w:rPr>
                <w:rFonts w:asciiTheme="majorHAnsi" w:eastAsia="Calibri" w:hAnsiTheme="majorHAnsi" w:cstheme="majorHAnsi"/>
                <w:sz w:val="22"/>
                <w:szCs w:val="22"/>
              </w:rPr>
              <w:t xml:space="preserve">Asesorías individuales o de </w:t>
            </w:r>
            <w:r w:rsidRPr="009C3322">
              <w:rPr>
                <w:rFonts w:asciiTheme="majorHAnsi" w:eastAsia="Calibri" w:hAnsiTheme="majorHAnsi" w:cstheme="majorHAnsi"/>
                <w:sz w:val="22"/>
                <w:szCs w:val="22"/>
              </w:rPr>
              <w:lastRenderedPageBreak/>
              <w:t>empresas</w:t>
            </w:r>
          </w:p>
        </w:tc>
        <w:tc>
          <w:tcPr>
            <w:tcW w:w="6525" w:type="dxa"/>
            <w:shd w:val="clear" w:color="auto" w:fill="FFFFFF" w:themeFill="background1"/>
          </w:tcPr>
          <w:p w14:paraId="49B7FE7D" w14:textId="77777777" w:rsidR="00494871" w:rsidRPr="009C3322" w:rsidRDefault="00494871" w:rsidP="00494871">
            <w:pPr>
              <w:pStyle w:val="Prrafodelista"/>
              <w:widowControl w:val="0"/>
              <w:numPr>
                <w:ilvl w:val="4"/>
                <w:numId w:val="2"/>
              </w:numPr>
              <w:tabs>
                <w:tab w:val="left" w:pos="315"/>
              </w:tabs>
              <w:ind w:left="315"/>
              <w:rPr>
                <w:rFonts w:asciiTheme="majorHAnsi" w:eastAsia="Calibri" w:hAnsiTheme="majorHAnsi" w:cstheme="majorHAnsi"/>
                <w:sz w:val="22"/>
                <w:szCs w:val="22"/>
              </w:rPr>
            </w:pPr>
            <w:r w:rsidRPr="009C3322">
              <w:rPr>
                <w:rFonts w:asciiTheme="majorHAnsi" w:eastAsia="Calibri" w:hAnsiTheme="majorHAnsi" w:cstheme="majorHAnsi"/>
                <w:sz w:val="22"/>
                <w:szCs w:val="22"/>
              </w:rPr>
              <w:lastRenderedPageBreak/>
              <w:t>Asesorías especializadas de expertos o empresas</w:t>
            </w:r>
            <w:r>
              <w:rPr>
                <w:rFonts w:asciiTheme="majorHAnsi" w:eastAsia="Calibri" w:hAnsiTheme="majorHAnsi" w:cstheme="majorHAnsi"/>
                <w:sz w:val="22"/>
                <w:szCs w:val="22"/>
              </w:rPr>
              <w:t>, nacionales o extranjeras,</w:t>
            </w:r>
            <w:r w:rsidRPr="009C3322">
              <w:rPr>
                <w:rFonts w:asciiTheme="majorHAnsi" w:eastAsia="Calibri" w:hAnsiTheme="majorHAnsi" w:cstheme="majorHAnsi"/>
                <w:sz w:val="22"/>
                <w:szCs w:val="22"/>
              </w:rPr>
              <w:t xml:space="preserve"> en temas y periodos específicos del proyecto. Dentro </w:t>
            </w:r>
            <w:r w:rsidRPr="009C3322">
              <w:rPr>
                <w:rFonts w:asciiTheme="majorHAnsi" w:eastAsia="Calibri" w:hAnsiTheme="majorHAnsi" w:cstheme="majorHAnsi"/>
                <w:sz w:val="22"/>
                <w:szCs w:val="22"/>
              </w:rPr>
              <w:lastRenderedPageBreak/>
              <w:t>de este rubro también se puede financiar servicios de especialistas para capacitación al Equipo Emprendedor en temas asociados al proyecto.</w:t>
            </w:r>
          </w:p>
          <w:p w14:paraId="32AACB11" w14:textId="77777777" w:rsidR="00494871" w:rsidRPr="00152E94" w:rsidRDefault="00494871" w:rsidP="00494871">
            <w:pPr>
              <w:pStyle w:val="Prrafodelista"/>
              <w:widowControl w:val="0"/>
              <w:numPr>
                <w:ilvl w:val="4"/>
                <w:numId w:val="2"/>
              </w:numPr>
              <w:tabs>
                <w:tab w:val="left" w:pos="315"/>
              </w:tabs>
              <w:ind w:left="315"/>
              <w:rPr>
                <w:rFonts w:asciiTheme="majorHAnsi" w:eastAsia="Calibri" w:hAnsiTheme="majorHAnsi" w:cstheme="majorHAnsi"/>
                <w:sz w:val="22"/>
                <w:szCs w:val="22"/>
              </w:rPr>
            </w:pPr>
            <w:r w:rsidRPr="009C3322">
              <w:rPr>
                <w:rFonts w:asciiTheme="majorHAnsi" w:eastAsia="Calibri" w:hAnsiTheme="majorHAnsi" w:cstheme="majorHAnsi"/>
                <w:sz w:val="22"/>
                <w:szCs w:val="22"/>
              </w:rPr>
              <w:t xml:space="preserve">Las asesorías deben costearse a suma alzada </w:t>
            </w:r>
            <w:r>
              <w:rPr>
                <w:rFonts w:asciiTheme="majorHAnsi" w:eastAsia="Calibri" w:hAnsiTheme="majorHAnsi" w:cstheme="majorHAnsi"/>
                <w:sz w:val="22"/>
                <w:szCs w:val="22"/>
              </w:rPr>
              <w:t>a</w:t>
            </w:r>
            <w:r w:rsidRPr="009C3322">
              <w:rPr>
                <w:rFonts w:asciiTheme="majorHAnsi" w:eastAsia="Calibri" w:hAnsiTheme="majorHAnsi" w:cstheme="majorHAnsi"/>
                <w:sz w:val="22"/>
                <w:szCs w:val="22"/>
              </w:rPr>
              <w:t xml:space="preserve"> todo costo, es decir incluyendo dentro del costo total los honorarios, viáticos y pasajes de los especialistas o empresas contratadas</w:t>
            </w:r>
            <w:r w:rsidRPr="00152E94">
              <w:rPr>
                <w:rFonts w:asciiTheme="majorHAnsi" w:eastAsia="Calibri" w:hAnsiTheme="majorHAnsi" w:cstheme="majorHAnsi"/>
                <w:sz w:val="22"/>
                <w:szCs w:val="22"/>
              </w:rPr>
              <w:t>.</w:t>
            </w:r>
          </w:p>
          <w:p w14:paraId="5D3D13DB" w14:textId="77777777" w:rsidR="00494871" w:rsidRPr="009C3322" w:rsidRDefault="00494871" w:rsidP="00494871">
            <w:pPr>
              <w:pStyle w:val="Prrafodelista"/>
              <w:widowControl w:val="0"/>
              <w:numPr>
                <w:ilvl w:val="4"/>
                <w:numId w:val="2"/>
              </w:numPr>
              <w:tabs>
                <w:tab w:val="left" w:pos="315"/>
              </w:tabs>
              <w:ind w:left="315"/>
              <w:rPr>
                <w:rFonts w:asciiTheme="majorHAnsi" w:eastAsia="Calibri" w:hAnsiTheme="majorHAnsi" w:cstheme="majorHAnsi"/>
                <w:sz w:val="22"/>
                <w:szCs w:val="22"/>
              </w:rPr>
            </w:pPr>
            <w:r w:rsidRPr="009C3322">
              <w:rPr>
                <w:rFonts w:asciiTheme="majorHAnsi" w:eastAsia="Calibri" w:hAnsiTheme="majorHAnsi" w:cstheme="majorHAnsi"/>
                <w:sz w:val="22"/>
                <w:szCs w:val="22"/>
              </w:rPr>
              <w:t xml:space="preserve">Los asesores o consultores no pueden formar parte del Equipo Emprendedor ni </w:t>
            </w:r>
            <w:r>
              <w:rPr>
                <w:rFonts w:asciiTheme="majorHAnsi" w:eastAsia="Calibri" w:hAnsiTheme="majorHAnsi" w:cstheme="majorHAnsi"/>
                <w:sz w:val="22"/>
                <w:szCs w:val="22"/>
              </w:rPr>
              <w:t xml:space="preserve">ser </w:t>
            </w:r>
            <w:r w:rsidRPr="009C3322">
              <w:rPr>
                <w:rFonts w:asciiTheme="majorHAnsi" w:eastAsia="Calibri" w:hAnsiTheme="majorHAnsi" w:cstheme="majorHAnsi"/>
                <w:sz w:val="22"/>
                <w:szCs w:val="22"/>
              </w:rPr>
              <w:t>trabajadores de la empresa en caso postulen como persona jurídica.</w:t>
            </w:r>
          </w:p>
          <w:p w14:paraId="0B2F99BE" w14:textId="77777777" w:rsidR="00494871" w:rsidRPr="009C3322" w:rsidRDefault="00494871" w:rsidP="00494871">
            <w:pPr>
              <w:pStyle w:val="Prrafodelista"/>
              <w:widowControl w:val="0"/>
              <w:numPr>
                <w:ilvl w:val="4"/>
                <w:numId w:val="2"/>
              </w:numPr>
              <w:tabs>
                <w:tab w:val="left" w:pos="315"/>
              </w:tabs>
              <w:ind w:left="315"/>
              <w:rPr>
                <w:rFonts w:asciiTheme="majorHAnsi" w:eastAsia="Calibri" w:hAnsiTheme="majorHAnsi" w:cstheme="majorHAnsi"/>
                <w:sz w:val="22"/>
                <w:szCs w:val="22"/>
              </w:rPr>
            </w:pPr>
            <w:r w:rsidRPr="009C3322">
              <w:rPr>
                <w:rFonts w:asciiTheme="majorHAnsi" w:eastAsia="Calibri" w:hAnsiTheme="majorHAnsi" w:cstheme="majorHAnsi"/>
                <w:sz w:val="22"/>
                <w:szCs w:val="22"/>
              </w:rPr>
              <w:t>No existe restricción de montos o porcentajes.</w:t>
            </w:r>
          </w:p>
          <w:p w14:paraId="3C29D80E" w14:textId="77777777" w:rsidR="00494871" w:rsidRPr="009C3322" w:rsidRDefault="00494871" w:rsidP="0079271A">
            <w:pPr>
              <w:widowControl w:val="0"/>
              <w:tabs>
                <w:tab w:val="left" w:pos="315"/>
              </w:tabs>
              <w:rPr>
                <w:rFonts w:asciiTheme="majorHAnsi" w:eastAsia="Calibri" w:hAnsiTheme="majorHAnsi" w:cstheme="majorHAnsi"/>
                <w:sz w:val="22"/>
                <w:szCs w:val="22"/>
              </w:rPr>
            </w:pPr>
          </w:p>
        </w:tc>
      </w:tr>
      <w:tr w:rsidR="00494871" w:rsidRPr="009C3322" w14:paraId="7F645021" w14:textId="77777777" w:rsidTr="0079271A">
        <w:trPr>
          <w:trHeight w:val="58"/>
          <w:jc w:val="center"/>
        </w:trPr>
        <w:tc>
          <w:tcPr>
            <w:tcW w:w="8647" w:type="dxa"/>
            <w:gridSpan w:val="2"/>
            <w:shd w:val="clear" w:color="auto" w:fill="F2F2F2" w:themeFill="background1" w:themeFillShade="F2"/>
          </w:tcPr>
          <w:p w14:paraId="6DC37B76" w14:textId="77777777" w:rsidR="00494871" w:rsidRPr="009C3322" w:rsidRDefault="00494871" w:rsidP="00494871">
            <w:pPr>
              <w:numPr>
                <w:ilvl w:val="0"/>
                <w:numId w:val="1"/>
              </w:numPr>
              <w:pBdr>
                <w:top w:val="nil"/>
                <w:left w:val="nil"/>
                <w:bottom w:val="nil"/>
                <w:right w:val="nil"/>
                <w:between w:val="nil"/>
              </w:pBdr>
              <w:jc w:val="both"/>
              <w:rPr>
                <w:rFonts w:asciiTheme="majorHAnsi" w:eastAsia="Calibri" w:hAnsiTheme="majorHAnsi" w:cstheme="majorHAnsi"/>
                <w:sz w:val="22"/>
                <w:szCs w:val="22"/>
              </w:rPr>
            </w:pPr>
            <w:r w:rsidRPr="009C3322">
              <w:rPr>
                <w:rFonts w:asciiTheme="majorHAnsi" w:eastAsia="Calibri" w:hAnsiTheme="majorHAnsi" w:cstheme="majorHAnsi"/>
                <w:b/>
                <w:sz w:val="22"/>
                <w:szCs w:val="22"/>
              </w:rPr>
              <w:lastRenderedPageBreak/>
              <w:t xml:space="preserve"> Servicios tecnológicos y empresariales</w:t>
            </w:r>
          </w:p>
        </w:tc>
      </w:tr>
      <w:tr w:rsidR="00494871" w:rsidRPr="009C3322" w14:paraId="6B4AD252" w14:textId="77777777" w:rsidTr="0079271A">
        <w:trPr>
          <w:trHeight w:val="694"/>
          <w:jc w:val="center"/>
        </w:trPr>
        <w:tc>
          <w:tcPr>
            <w:tcW w:w="2122" w:type="dxa"/>
          </w:tcPr>
          <w:p w14:paraId="46630257" w14:textId="77777777" w:rsidR="00494871" w:rsidRPr="009C3322" w:rsidRDefault="00494871" w:rsidP="0079271A">
            <w:pPr>
              <w:widowControl w:val="0"/>
              <w:tabs>
                <w:tab w:val="left" w:pos="297"/>
              </w:tabs>
              <w:rPr>
                <w:rFonts w:asciiTheme="majorHAnsi" w:eastAsia="Calibri" w:hAnsiTheme="majorHAnsi" w:cstheme="majorHAnsi"/>
                <w:sz w:val="22"/>
                <w:szCs w:val="22"/>
              </w:rPr>
            </w:pPr>
            <w:r w:rsidRPr="009C3322">
              <w:rPr>
                <w:rFonts w:asciiTheme="majorHAnsi" w:eastAsia="Calibri" w:hAnsiTheme="majorHAnsi" w:cstheme="majorHAnsi"/>
                <w:sz w:val="22"/>
                <w:szCs w:val="22"/>
              </w:rPr>
              <w:t>Servicios de terceros vinculados a las actividades del proyecto</w:t>
            </w:r>
          </w:p>
        </w:tc>
        <w:tc>
          <w:tcPr>
            <w:tcW w:w="6525" w:type="dxa"/>
          </w:tcPr>
          <w:p w14:paraId="5F5DA34A" w14:textId="77777777" w:rsidR="00494871" w:rsidRPr="009C3322" w:rsidRDefault="00494871" w:rsidP="00494871">
            <w:pPr>
              <w:pStyle w:val="Prrafodelista"/>
              <w:widowControl w:val="0"/>
              <w:numPr>
                <w:ilvl w:val="4"/>
                <w:numId w:val="2"/>
              </w:numPr>
              <w:tabs>
                <w:tab w:val="left" w:pos="315"/>
              </w:tabs>
              <w:ind w:left="315"/>
              <w:rPr>
                <w:rFonts w:asciiTheme="majorHAnsi" w:eastAsia="Calibri" w:hAnsiTheme="majorHAnsi" w:cstheme="majorHAnsi"/>
                <w:sz w:val="22"/>
                <w:szCs w:val="22"/>
              </w:rPr>
            </w:pPr>
            <w:r w:rsidRPr="009C3322">
              <w:rPr>
                <w:rFonts w:asciiTheme="majorHAnsi" w:eastAsia="Calibri" w:hAnsiTheme="majorHAnsi" w:cstheme="majorHAnsi"/>
                <w:sz w:val="22"/>
                <w:szCs w:val="22"/>
              </w:rPr>
              <w:t>Servicios tecnológicos y empresariales necesarios para el proyecto.</w:t>
            </w:r>
          </w:p>
          <w:p w14:paraId="264E2600" w14:textId="77777777" w:rsidR="00494871" w:rsidRPr="009C3322" w:rsidRDefault="00494871" w:rsidP="00494871">
            <w:pPr>
              <w:pStyle w:val="Prrafodelista"/>
              <w:widowControl w:val="0"/>
              <w:numPr>
                <w:ilvl w:val="4"/>
                <w:numId w:val="2"/>
              </w:numPr>
              <w:tabs>
                <w:tab w:val="left" w:pos="315"/>
              </w:tabs>
              <w:ind w:left="315"/>
              <w:rPr>
                <w:rFonts w:asciiTheme="majorHAnsi" w:eastAsia="Calibri" w:hAnsiTheme="majorHAnsi" w:cstheme="majorHAnsi"/>
                <w:sz w:val="22"/>
                <w:szCs w:val="22"/>
              </w:rPr>
            </w:pPr>
            <w:r w:rsidRPr="009C3322">
              <w:rPr>
                <w:rFonts w:asciiTheme="majorHAnsi" w:eastAsia="Calibri" w:hAnsiTheme="majorHAnsi" w:cstheme="majorHAnsi"/>
                <w:sz w:val="22"/>
                <w:szCs w:val="22"/>
              </w:rPr>
              <w:t>Otros servicios asociados al prototipado y validación de los productos, servicios o formas de comercialización, así como actividades finales para el desarrollo comercial</w:t>
            </w:r>
            <w:r w:rsidRPr="009C3322">
              <w:rPr>
                <w:rStyle w:val="Refdenotaalpie"/>
                <w:rFonts w:asciiTheme="majorHAnsi" w:eastAsia="Calibri" w:hAnsiTheme="majorHAnsi" w:cstheme="majorHAnsi"/>
                <w:sz w:val="22"/>
                <w:szCs w:val="22"/>
              </w:rPr>
              <w:footnoteReference w:id="4"/>
            </w:r>
            <w:r w:rsidRPr="009C3322">
              <w:rPr>
                <w:rFonts w:asciiTheme="majorHAnsi" w:eastAsia="Calibri" w:hAnsiTheme="majorHAnsi" w:cstheme="majorHAnsi"/>
                <w:sz w:val="22"/>
                <w:szCs w:val="22"/>
              </w:rPr>
              <w:t>.</w:t>
            </w:r>
          </w:p>
          <w:p w14:paraId="1F1498DB" w14:textId="77777777" w:rsidR="00494871" w:rsidRPr="009C3322" w:rsidRDefault="00494871" w:rsidP="00494871">
            <w:pPr>
              <w:pStyle w:val="Prrafodelista"/>
              <w:widowControl w:val="0"/>
              <w:numPr>
                <w:ilvl w:val="4"/>
                <w:numId w:val="2"/>
              </w:numPr>
              <w:tabs>
                <w:tab w:val="left" w:pos="315"/>
              </w:tabs>
              <w:ind w:left="315"/>
              <w:rPr>
                <w:rFonts w:asciiTheme="majorHAnsi" w:eastAsia="Calibri" w:hAnsiTheme="majorHAnsi" w:cstheme="majorHAnsi"/>
                <w:sz w:val="22"/>
                <w:szCs w:val="22"/>
              </w:rPr>
            </w:pPr>
            <w:r w:rsidRPr="009C3322">
              <w:rPr>
                <w:rFonts w:asciiTheme="majorHAnsi" w:eastAsia="Calibri" w:hAnsiTheme="majorHAnsi" w:cstheme="majorHAnsi"/>
                <w:sz w:val="22"/>
                <w:szCs w:val="22"/>
              </w:rPr>
              <w:t>Actividades de marketing digital, incluyendo suscripciones, páginas web y publicidad digital, entre otros afines.</w:t>
            </w:r>
          </w:p>
          <w:p w14:paraId="7438CEA4" w14:textId="77777777" w:rsidR="00494871" w:rsidRPr="009C3322" w:rsidRDefault="00494871" w:rsidP="00494871">
            <w:pPr>
              <w:pStyle w:val="Prrafodelista"/>
              <w:widowControl w:val="0"/>
              <w:numPr>
                <w:ilvl w:val="4"/>
                <w:numId w:val="2"/>
              </w:numPr>
              <w:tabs>
                <w:tab w:val="left" w:pos="315"/>
              </w:tabs>
              <w:ind w:left="315"/>
              <w:rPr>
                <w:rFonts w:asciiTheme="majorHAnsi" w:eastAsia="Calibri" w:hAnsiTheme="majorHAnsi" w:cstheme="majorHAnsi"/>
                <w:sz w:val="22"/>
                <w:szCs w:val="22"/>
              </w:rPr>
            </w:pPr>
            <w:r w:rsidRPr="009C3322">
              <w:rPr>
                <w:rFonts w:asciiTheme="majorHAnsi" w:eastAsia="Calibri" w:hAnsiTheme="majorHAnsi" w:cstheme="majorHAnsi"/>
                <w:sz w:val="22"/>
                <w:szCs w:val="22"/>
              </w:rPr>
              <w:t>Se puede financiar con RNR o aporte monetario del equipo. No existe restricción de montos o porcentajes.</w:t>
            </w:r>
          </w:p>
          <w:p w14:paraId="425C558D" w14:textId="77777777" w:rsidR="00494871" w:rsidRPr="009C3322" w:rsidRDefault="00494871" w:rsidP="0079271A">
            <w:pPr>
              <w:widowControl w:val="0"/>
              <w:tabs>
                <w:tab w:val="left" w:pos="315"/>
              </w:tabs>
              <w:rPr>
                <w:rFonts w:asciiTheme="majorHAnsi" w:eastAsia="Calibri" w:hAnsiTheme="majorHAnsi" w:cstheme="majorHAnsi"/>
                <w:sz w:val="22"/>
                <w:szCs w:val="22"/>
              </w:rPr>
            </w:pPr>
          </w:p>
        </w:tc>
      </w:tr>
      <w:tr w:rsidR="00494871" w:rsidRPr="009C3322" w14:paraId="0A3775FC" w14:textId="77777777" w:rsidTr="0079271A">
        <w:trPr>
          <w:trHeight w:val="694"/>
          <w:jc w:val="center"/>
        </w:trPr>
        <w:tc>
          <w:tcPr>
            <w:tcW w:w="2122" w:type="dxa"/>
          </w:tcPr>
          <w:p w14:paraId="3073744C" w14:textId="77777777" w:rsidR="00494871" w:rsidRPr="009C3322" w:rsidRDefault="00494871" w:rsidP="0079271A">
            <w:pPr>
              <w:widowControl w:val="0"/>
              <w:tabs>
                <w:tab w:val="left" w:pos="297"/>
              </w:tabs>
              <w:rPr>
                <w:rFonts w:asciiTheme="majorHAnsi" w:eastAsia="Calibri" w:hAnsiTheme="majorHAnsi" w:cstheme="majorHAnsi"/>
                <w:sz w:val="22"/>
                <w:szCs w:val="22"/>
              </w:rPr>
            </w:pPr>
            <w:r w:rsidRPr="009C3322">
              <w:rPr>
                <w:rFonts w:asciiTheme="majorHAnsi" w:eastAsia="Calibri" w:hAnsiTheme="majorHAnsi" w:cstheme="majorHAnsi"/>
                <w:sz w:val="22"/>
                <w:szCs w:val="22"/>
              </w:rPr>
              <w:t>Licencias por uso de propiedad intelectual</w:t>
            </w:r>
          </w:p>
        </w:tc>
        <w:tc>
          <w:tcPr>
            <w:tcW w:w="6525" w:type="dxa"/>
          </w:tcPr>
          <w:p w14:paraId="58415FA6" w14:textId="77777777" w:rsidR="00494871" w:rsidRPr="009C3322" w:rsidRDefault="00494871" w:rsidP="00494871">
            <w:pPr>
              <w:pStyle w:val="Prrafodelista"/>
              <w:widowControl w:val="0"/>
              <w:numPr>
                <w:ilvl w:val="4"/>
                <w:numId w:val="2"/>
              </w:numPr>
              <w:tabs>
                <w:tab w:val="left" w:pos="315"/>
              </w:tabs>
              <w:ind w:left="315"/>
              <w:rPr>
                <w:rFonts w:asciiTheme="majorHAnsi" w:eastAsia="Calibri" w:hAnsiTheme="majorHAnsi" w:cstheme="majorHAnsi"/>
                <w:sz w:val="22"/>
                <w:szCs w:val="22"/>
              </w:rPr>
            </w:pPr>
            <w:r w:rsidRPr="009C3322">
              <w:rPr>
                <w:rFonts w:asciiTheme="majorHAnsi" w:eastAsia="Calibri" w:hAnsiTheme="majorHAnsi" w:cstheme="majorHAnsi"/>
                <w:sz w:val="22"/>
                <w:szCs w:val="22"/>
              </w:rPr>
              <w:t>Pago por el uso de propiedad intelectual registrada a nombre de terceros, tales como software o licencias.</w:t>
            </w:r>
          </w:p>
          <w:p w14:paraId="5EFF4D8D" w14:textId="77777777" w:rsidR="00494871" w:rsidRPr="009C3322" w:rsidRDefault="00494871" w:rsidP="00494871">
            <w:pPr>
              <w:pStyle w:val="Prrafodelista"/>
              <w:widowControl w:val="0"/>
              <w:numPr>
                <w:ilvl w:val="4"/>
                <w:numId w:val="2"/>
              </w:numPr>
              <w:tabs>
                <w:tab w:val="left" w:pos="315"/>
              </w:tabs>
              <w:ind w:left="315"/>
              <w:rPr>
                <w:rFonts w:asciiTheme="majorHAnsi" w:eastAsia="Calibri" w:hAnsiTheme="majorHAnsi" w:cstheme="majorHAnsi"/>
                <w:sz w:val="22"/>
                <w:szCs w:val="22"/>
              </w:rPr>
            </w:pPr>
            <w:r w:rsidRPr="009C3322">
              <w:rPr>
                <w:rFonts w:asciiTheme="majorHAnsi" w:eastAsia="Calibri" w:hAnsiTheme="majorHAnsi" w:cstheme="majorHAnsi"/>
                <w:sz w:val="22"/>
                <w:szCs w:val="22"/>
              </w:rPr>
              <w:t>Pueden financiarse con RNR y aporte monetario o no monetario. No existe restricción de montos o porcentajes.</w:t>
            </w:r>
          </w:p>
          <w:p w14:paraId="034F09CB" w14:textId="77777777" w:rsidR="00494871" w:rsidRPr="00FC6C48" w:rsidRDefault="00494871" w:rsidP="0079271A">
            <w:pPr>
              <w:widowControl w:val="0"/>
              <w:tabs>
                <w:tab w:val="left" w:pos="315"/>
              </w:tabs>
              <w:rPr>
                <w:rFonts w:asciiTheme="majorHAnsi" w:eastAsia="Calibri" w:hAnsiTheme="majorHAnsi" w:cstheme="majorHAnsi"/>
                <w:sz w:val="22"/>
                <w:szCs w:val="22"/>
              </w:rPr>
            </w:pPr>
          </w:p>
        </w:tc>
      </w:tr>
      <w:tr w:rsidR="00494871" w:rsidRPr="009C3322" w14:paraId="3C53FF04" w14:textId="77777777" w:rsidTr="0079271A">
        <w:trPr>
          <w:trHeight w:val="694"/>
          <w:jc w:val="center"/>
        </w:trPr>
        <w:tc>
          <w:tcPr>
            <w:tcW w:w="2122" w:type="dxa"/>
          </w:tcPr>
          <w:p w14:paraId="0CB5F1BC" w14:textId="77777777" w:rsidR="00494871" w:rsidRPr="009C3322" w:rsidRDefault="00494871" w:rsidP="0079271A">
            <w:pPr>
              <w:widowControl w:val="0"/>
              <w:tabs>
                <w:tab w:val="left" w:pos="297"/>
              </w:tabs>
              <w:rPr>
                <w:rFonts w:asciiTheme="majorHAnsi" w:eastAsia="Calibri" w:hAnsiTheme="majorHAnsi" w:cstheme="majorHAnsi"/>
                <w:sz w:val="22"/>
                <w:szCs w:val="22"/>
              </w:rPr>
            </w:pPr>
            <w:r w:rsidRPr="009C3322">
              <w:rPr>
                <w:rFonts w:asciiTheme="majorHAnsi" w:eastAsia="Calibri" w:hAnsiTheme="majorHAnsi" w:cstheme="majorHAnsi"/>
                <w:sz w:val="22"/>
                <w:szCs w:val="22"/>
              </w:rPr>
              <w:t>Difusión y transferencia del conocimiento del proyecto</w:t>
            </w:r>
          </w:p>
        </w:tc>
        <w:tc>
          <w:tcPr>
            <w:tcW w:w="6525" w:type="dxa"/>
          </w:tcPr>
          <w:p w14:paraId="3B0771B6" w14:textId="77777777" w:rsidR="00494871" w:rsidRPr="009C3322" w:rsidRDefault="00494871" w:rsidP="00494871">
            <w:pPr>
              <w:pStyle w:val="Prrafodelista"/>
              <w:widowControl w:val="0"/>
              <w:numPr>
                <w:ilvl w:val="4"/>
                <w:numId w:val="2"/>
              </w:numPr>
              <w:tabs>
                <w:tab w:val="left" w:pos="315"/>
              </w:tabs>
              <w:ind w:left="315"/>
              <w:rPr>
                <w:rFonts w:asciiTheme="majorHAnsi" w:eastAsia="Calibri" w:hAnsiTheme="majorHAnsi" w:cstheme="majorHAnsi"/>
                <w:sz w:val="22"/>
                <w:szCs w:val="22"/>
              </w:rPr>
            </w:pPr>
            <w:r w:rsidRPr="009C3322">
              <w:rPr>
                <w:rFonts w:asciiTheme="majorHAnsi" w:eastAsia="Calibri" w:hAnsiTheme="majorHAnsi" w:cstheme="majorHAnsi"/>
                <w:sz w:val="22"/>
                <w:szCs w:val="22"/>
              </w:rPr>
              <w:t>Taller de cierre de carácter público para la difusión de los resultados finales del proyecto. Es una actividad obligatoria.</w:t>
            </w:r>
          </w:p>
          <w:p w14:paraId="27A21516" w14:textId="77777777" w:rsidR="00494871" w:rsidRPr="009C3322" w:rsidRDefault="00494871" w:rsidP="00494871">
            <w:pPr>
              <w:pStyle w:val="Prrafodelista"/>
              <w:widowControl w:val="0"/>
              <w:numPr>
                <w:ilvl w:val="4"/>
                <w:numId w:val="2"/>
              </w:numPr>
              <w:tabs>
                <w:tab w:val="left" w:pos="315"/>
              </w:tabs>
              <w:ind w:left="315"/>
              <w:rPr>
                <w:rFonts w:asciiTheme="majorHAnsi" w:eastAsia="Calibri" w:hAnsiTheme="majorHAnsi" w:cstheme="majorHAnsi"/>
                <w:sz w:val="22"/>
                <w:szCs w:val="22"/>
              </w:rPr>
            </w:pPr>
            <w:r w:rsidRPr="009C3322">
              <w:rPr>
                <w:rFonts w:asciiTheme="majorHAnsi" w:eastAsia="Calibri" w:hAnsiTheme="majorHAnsi" w:cstheme="majorHAnsi"/>
                <w:sz w:val="22"/>
                <w:szCs w:val="22"/>
              </w:rPr>
              <w:t xml:space="preserve">Pueden financiarse con RNR y aporte monetario o no monetario. </w:t>
            </w:r>
          </w:p>
          <w:p w14:paraId="100FA1E5" w14:textId="77777777" w:rsidR="00494871" w:rsidRPr="009C3322" w:rsidRDefault="00494871" w:rsidP="00494871">
            <w:pPr>
              <w:pStyle w:val="Prrafodelista"/>
              <w:widowControl w:val="0"/>
              <w:numPr>
                <w:ilvl w:val="4"/>
                <w:numId w:val="2"/>
              </w:numPr>
              <w:tabs>
                <w:tab w:val="left" w:pos="315"/>
              </w:tabs>
              <w:ind w:left="315"/>
              <w:rPr>
                <w:rFonts w:asciiTheme="majorHAnsi" w:eastAsia="Calibri" w:hAnsiTheme="majorHAnsi" w:cstheme="majorHAnsi"/>
                <w:sz w:val="22"/>
                <w:szCs w:val="22"/>
              </w:rPr>
            </w:pPr>
            <w:r w:rsidRPr="009C3322">
              <w:rPr>
                <w:rFonts w:asciiTheme="majorHAnsi" w:eastAsia="Calibri" w:hAnsiTheme="majorHAnsi" w:cstheme="majorHAnsi"/>
                <w:sz w:val="22"/>
                <w:szCs w:val="22"/>
              </w:rPr>
              <w:t>Los gastos para difusión y transferencia del conocimiento del proyecto no pueden superar el 5% del Capital Semilla.</w:t>
            </w:r>
          </w:p>
          <w:p w14:paraId="42C28ACF" w14:textId="77777777" w:rsidR="00494871" w:rsidRPr="009C3322" w:rsidRDefault="00494871" w:rsidP="0079271A">
            <w:pPr>
              <w:pStyle w:val="Prrafodelista"/>
              <w:widowControl w:val="0"/>
              <w:tabs>
                <w:tab w:val="left" w:pos="315"/>
              </w:tabs>
              <w:ind w:left="315"/>
              <w:rPr>
                <w:rFonts w:asciiTheme="majorHAnsi" w:eastAsia="Calibri" w:hAnsiTheme="majorHAnsi" w:cstheme="majorHAnsi"/>
                <w:sz w:val="22"/>
                <w:szCs w:val="22"/>
              </w:rPr>
            </w:pPr>
          </w:p>
        </w:tc>
      </w:tr>
      <w:tr w:rsidR="00494871" w:rsidRPr="009C3322" w14:paraId="0F9694AE" w14:textId="77777777" w:rsidTr="0079271A">
        <w:trPr>
          <w:trHeight w:val="58"/>
          <w:jc w:val="center"/>
        </w:trPr>
        <w:tc>
          <w:tcPr>
            <w:tcW w:w="8647" w:type="dxa"/>
            <w:gridSpan w:val="2"/>
            <w:shd w:val="clear" w:color="auto" w:fill="F2F2F2" w:themeFill="background1" w:themeFillShade="F2"/>
          </w:tcPr>
          <w:p w14:paraId="7D6B11CB" w14:textId="77777777" w:rsidR="00494871" w:rsidRPr="009C3322" w:rsidRDefault="00494871" w:rsidP="00494871">
            <w:pPr>
              <w:numPr>
                <w:ilvl w:val="0"/>
                <w:numId w:val="1"/>
              </w:numPr>
              <w:pBdr>
                <w:top w:val="nil"/>
                <w:left w:val="nil"/>
                <w:bottom w:val="nil"/>
                <w:right w:val="nil"/>
                <w:between w:val="nil"/>
              </w:pBdr>
              <w:jc w:val="both"/>
              <w:rPr>
                <w:rFonts w:asciiTheme="majorHAnsi" w:eastAsia="Calibri" w:hAnsiTheme="majorHAnsi" w:cstheme="majorHAnsi"/>
                <w:sz w:val="22"/>
                <w:szCs w:val="22"/>
              </w:rPr>
            </w:pPr>
            <w:r w:rsidRPr="009C3322">
              <w:rPr>
                <w:rFonts w:asciiTheme="majorHAnsi" w:eastAsia="Calibri" w:hAnsiTheme="majorHAnsi" w:cstheme="majorHAnsi"/>
                <w:b/>
                <w:sz w:val="22"/>
                <w:szCs w:val="22"/>
              </w:rPr>
              <w:t>Pasajes y viáticos</w:t>
            </w:r>
          </w:p>
        </w:tc>
      </w:tr>
      <w:tr w:rsidR="00494871" w:rsidRPr="009C3322" w14:paraId="3EA9B62F" w14:textId="77777777" w:rsidTr="0079271A">
        <w:trPr>
          <w:trHeight w:val="2107"/>
          <w:jc w:val="center"/>
        </w:trPr>
        <w:tc>
          <w:tcPr>
            <w:tcW w:w="2122" w:type="dxa"/>
          </w:tcPr>
          <w:p w14:paraId="1ED29B79" w14:textId="77777777" w:rsidR="00494871" w:rsidRPr="009C3322" w:rsidRDefault="00494871" w:rsidP="0079271A">
            <w:pPr>
              <w:widowControl w:val="0"/>
              <w:tabs>
                <w:tab w:val="left" w:pos="297"/>
              </w:tabs>
              <w:rPr>
                <w:rFonts w:asciiTheme="majorHAnsi" w:eastAsia="Calibri" w:hAnsiTheme="majorHAnsi" w:cstheme="majorHAnsi"/>
                <w:sz w:val="22"/>
                <w:szCs w:val="22"/>
              </w:rPr>
            </w:pPr>
            <w:r w:rsidRPr="009C3322">
              <w:rPr>
                <w:rFonts w:asciiTheme="majorHAnsi" w:eastAsia="Calibri" w:hAnsiTheme="majorHAnsi" w:cstheme="majorHAnsi"/>
                <w:sz w:val="22"/>
                <w:szCs w:val="22"/>
              </w:rPr>
              <w:t xml:space="preserve">Pasajes y viáticos para trabajo de campo y capacitación, eventos de </w:t>
            </w:r>
            <w:proofErr w:type="spellStart"/>
            <w:r w:rsidRPr="009C3322">
              <w:rPr>
                <w:rFonts w:asciiTheme="majorHAnsi" w:eastAsia="Calibri" w:hAnsiTheme="majorHAnsi" w:cstheme="majorHAnsi"/>
                <w:sz w:val="22"/>
                <w:szCs w:val="22"/>
              </w:rPr>
              <w:t>networking</w:t>
            </w:r>
            <w:proofErr w:type="spellEnd"/>
            <w:r w:rsidRPr="009C3322">
              <w:rPr>
                <w:rFonts w:asciiTheme="majorHAnsi" w:eastAsia="Calibri" w:hAnsiTheme="majorHAnsi" w:cstheme="majorHAnsi"/>
                <w:sz w:val="22"/>
                <w:szCs w:val="22"/>
              </w:rPr>
              <w:t xml:space="preserve"> y participación en programas de incubación o aceleración en el extranjero</w:t>
            </w:r>
          </w:p>
        </w:tc>
        <w:tc>
          <w:tcPr>
            <w:tcW w:w="6525" w:type="dxa"/>
          </w:tcPr>
          <w:p w14:paraId="10A336A5" w14:textId="77777777" w:rsidR="00494871" w:rsidRPr="009C3322" w:rsidRDefault="00494871" w:rsidP="00494871">
            <w:pPr>
              <w:pStyle w:val="Prrafodelista"/>
              <w:widowControl w:val="0"/>
              <w:numPr>
                <w:ilvl w:val="4"/>
                <w:numId w:val="2"/>
              </w:numPr>
              <w:tabs>
                <w:tab w:val="left" w:pos="315"/>
              </w:tabs>
              <w:ind w:left="315"/>
              <w:rPr>
                <w:rFonts w:asciiTheme="majorHAnsi" w:eastAsia="Calibri" w:hAnsiTheme="majorHAnsi" w:cstheme="majorHAnsi"/>
                <w:sz w:val="22"/>
                <w:szCs w:val="22"/>
              </w:rPr>
            </w:pPr>
            <w:r w:rsidRPr="009C3322">
              <w:rPr>
                <w:rFonts w:asciiTheme="majorHAnsi" w:eastAsia="Calibri" w:hAnsiTheme="majorHAnsi" w:cstheme="majorHAnsi"/>
                <w:sz w:val="22"/>
                <w:szCs w:val="22"/>
              </w:rPr>
              <w:t xml:space="preserve">Pasajes y viáticos nacionales o internacionales; se financian exclusivamente para el Equipo Emprendedor y según </w:t>
            </w:r>
            <w:proofErr w:type="gramStart"/>
            <w:r w:rsidRPr="009C3322">
              <w:rPr>
                <w:rFonts w:asciiTheme="majorHAnsi" w:eastAsia="Calibri" w:hAnsiTheme="majorHAnsi" w:cstheme="majorHAnsi"/>
                <w:sz w:val="22"/>
                <w:szCs w:val="22"/>
              </w:rPr>
              <w:t>las escala</w:t>
            </w:r>
            <w:proofErr w:type="gramEnd"/>
            <w:r w:rsidRPr="009C3322">
              <w:rPr>
                <w:rFonts w:asciiTheme="majorHAnsi" w:eastAsia="Calibri" w:hAnsiTheme="majorHAnsi" w:cstheme="majorHAnsi"/>
                <w:sz w:val="22"/>
                <w:szCs w:val="22"/>
              </w:rPr>
              <w:t xml:space="preserve"> de viáticos permitida (*).</w:t>
            </w:r>
          </w:p>
          <w:p w14:paraId="60740891" w14:textId="77777777" w:rsidR="00494871" w:rsidRPr="009C3322" w:rsidRDefault="00494871" w:rsidP="00494871">
            <w:pPr>
              <w:pStyle w:val="Prrafodelista"/>
              <w:widowControl w:val="0"/>
              <w:numPr>
                <w:ilvl w:val="4"/>
                <w:numId w:val="2"/>
              </w:numPr>
              <w:tabs>
                <w:tab w:val="left" w:pos="315"/>
              </w:tabs>
              <w:ind w:left="315"/>
              <w:rPr>
                <w:rFonts w:asciiTheme="majorHAnsi" w:eastAsia="Calibri" w:hAnsiTheme="majorHAnsi" w:cstheme="majorHAnsi"/>
                <w:sz w:val="22"/>
                <w:szCs w:val="22"/>
              </w:rPr>
            </w:pPr>
            <w:r w:rsidRPr="009C3322">
              <w:rPr>
                <w:rFonts w:asciiTheme="majorHAnsi" w:eastAsia="Calibri" w:hAnsiTheme="majorHAnsi" w:cstheme="majorHAnsi"/>
                <w:sz w:val="22"/>
                <w:szCs w:val="22"/>
              </w:rPr>
              <w:t xml:space="preserve">Se usan para la realización de actividades de capacitación y </w:t>
            </w:r>
            <w:proofErr w:type="spellStart"/>
            <w:r w:rsidRPr="009C3322">
              <w:rPr>
                <w:rFonts w:asciiTheme="majorHAnsi" w:eastAsia="Calibri" w:hAnsiTheme="majorHAnsi" w:cstheme="majorHAnsi"/>
                <w:sz w:val="22"/>
                <w:szCs w:val="22"/>
              </w:rPr>
              <w:t>networking</w:t>
            </w:r>
            <w:proofErr w:type="spellEnd"/>
            <w:r w:rsidRPr="009C3322">
              <w:rPr>
                <w:rFonts w:asciiTheme="majorHAnsi" w:eastAsia="Calibri" w:hAnsiTheme="majorHAnsi" w:cstheme="majorHAnsi"/>
                <w:sz w:val="22"/>
                <w:szCs w:val="22"/>
              </w:rPr>
              <w:t xml:space="preserve"> (seminarios, pasantías, congresos, cursos cortos, demos </w:t>
            </w:r>
            <w:proofErr w:type="spellStart"/>
            <w:r w:rsidRPr="009C3322">
              <w:rPr>
                <w:rFonts w:asciiTheme="majorHAnsi" w:eastAsia="Calibri" w:hAnsiTheme="majorHAnsi" w:cstheme="majorHAnsi"/>
                <w:sz w:val="22"/>
                <w:szCs w:val="22"/>
              </w:rPr>
              <w:t>days</w:t>
            </w:r>
            <w:proofErr w:type="spellEnd"/>
            <w:r w:rsidRPr="009C3322">
              <w:rPr>
                <w:rFonts w:asciiTheme="majorHAnsi" w:eastAsia="Calibri" w:hAnsiTheme="majorHAnsi" w:cstheme="majorHAnsi"/>
                <w:sz w:val="22"/>
                <w:szCs w:val="22"/>
              </w:rPr>
              <w:t>, competencias internacionales, ruedas de negocios, etc.) relacionados directamente con el proyecto.</w:t>
            </w:r>
          </w:p>
          <w:p w14:paraId="5E799E75" w14:textId="77777777" w:rsidR="00494871" w:rsidRPr="009C3322" w:rsidRDefault="00494871" w:rsidP="00494871">
            <w:pPr>
              <w:pStyle w:val="Prrafodelista"/>
              <w:widowControl w:val="0"/>
              <w:numPr>
                <w:ilvl w:val="4"/>
                <w:numId w:val="2"/>
              </w:numPr>
              <w:tabs>
                <w:tab w:val="left" w:pos="315"/>
              </w:tabs>
              <w:ind w:left="315"/>
              <w:rPr>
                <w:rFonts w:asciiTheme="majorHAnsi" w:eastAsia="Calibri" w:hAnsiTheme="majorHAnsi" w:cstheme="majorHAnsi"/>
                <w:sz w:val="22"/>
                <w:szCs w:val="22"/>
              </w:rPr>
            </w:pPr>
            <w:r w:rsidRPr="009C3322">
              <w:rPr>
                <w:rFonts w:asciiTheme="majorHAnsi" w:eastAsia="Calibri" w:hAnsiTheme="majorHAnsi" w:cstheme="majorHAnsi"/>
                <w:sz w:val="22"/>
                <w:szCs w:val="22"/>
              </w:rPr>
              <w:t>Pasajes y viáticos para participar de procesos o eventos de incubación o aceleración nacionales o en el extranjero.</w:t>
            </w:r>
          </w:p>
          <w:p w14:paraId="7AC0CB09" w14:textId="77777777" w:rsidR="00494871" w:rsidRPr="009C3322" w:rsidRDefault="00494871" w:rsidP="00494871">
            <w:pPr>
              <w:pStyle w:val="Prrafodelista"/>
              <w:widowControl w:val="0"/>
              <w:numPr>
                <w:ilvl w:val="4"/>
                <w:numId w:val="2"/>
              </w:numPr>
              <w:tabs>
                <w:tab w:val="left" w:pos="315"/>
              </w:tabs>
              <w:ind w:left="315"/>
              <w:rPr>
                <w:rFonts w:asciiTheme="majorHAnsi" w:eastAsia="Calibri" w:hAnsiTheme="majorHAnsi" w:cstheme="majorHAnsi"/>
                <w:sz w:val="22"/>
                <w:szCs w:val="22"/>
              </w:rPr>
            </w:pPr>
            <w:r w:rsidRPr="009C3322">
              <w:rPr>
                <w:rFonts w:asciiTheme="majorHAnsi" w:eastAsia="Calibri" w:hAnsiTheme="majorHAnsi" w:cstheme="majorHAnsi"/>
                <w:sz w:val="22"/>
                <w:szCs w:val="22"/>
              </w:rPr>
              <w:t>Pueden financiarse con RNR y aporte monetario. Los gastos para pasajes y viáticos no pueden superar el 20% del Capital Semilla.</w:t>
            </w:r>
          </w:p>
          <w:p w14:paraId="513A24FC" w14:textId="77777777" w:rsidR="00494871" w:rsidRPr="009C3322" w:rsidRDefault="00494871" w:rsidP="0079271A">
            <w:pPr>
              <w:widowControl w:val="0"/>
              <w:ind w:left="283"/>
              <w:rPr>
                <w:rFonts w:asciiTheme="majorHAnsi" w:hAnsiTheme="majorHAnsi" w:cstheme="majorHAnsi"/>
                <w:sz w:val="22"/>
                <w:szCs w:val="22"/>
              </w:rPr>
            </w:pPr>
          </w:p>
        </w:tc>
      </w:tr>
      <w:tr w:rsidR="00494871" w:rsidRPr="009C3322" w14:paraId="2A7E639C" w14:textId="77777777" w:rsidTr="0079271A">
        <w:trPr>
          <w:trHeight w:val="220"/>
          <w:jc w:val="center"/>
        </w:trPr>
        <w:tc>
          <w:tcPr>
            <w:tcW w:w="8647" w:type="dxa"/>
            <w:gridSpan w:val="2"/>
            <w:shd w:val="clear" w:color="auto" w:fill="F2F2F2" w:themeFill="background1" w:themeFillShade="F2"/>
          </w:tcPr>
          <w:p w14:paraId="0FBEEC5D" w14:textId="77777777" w:rsidR="00494871" w:rsidRPr="00FC6C48" w:rsidRDefault="00494871" w:rsidP="00494871">
            <w:pPr>
              <w:pStyle w:val="Prrafodelista"/>
              <w:numPr>
                <w:ilvl w:val="0"/>
                <w:numId w:val="1"/>
              </w:numPr>
              <w:pBdr>
                <w:top w:val="nil"/>
                <w:left w:val="nil"/>
                <w:bottom w:val="nil"/>
                <w:right w:val="nil"/>
                <w:between w:val="nil"/>
              </w:pBdr>
              <w:jc w:val="both"/>
              <w:rPr>
                <w:rFonts w:asciiTheme="majorHAnsi" w:eastAsia="Calibri" w:hAnsiTheme="majorHAnsi" w:cstheme="majorHAnsi"/>
                <w:sz w:val="22"/>
                <w:szCs w:val="22"/>
              </w:rPr>
            </w:pPr>
            <w:r w:rsidRPr="00FC6C48">
              <w:rPr>
                <w:rFonts w:asciiTheme="majorHAnsi" w:eastAsia="Calibri" w:hAnsiTheme="majorHAnsi" w:cstheme="majorHAnsi"/>
                <w:b/>
                <w:sz w:val="22"/>
                <w:szCs w:val="22"/>
              </w:rPr>
              <w:lastRenderedPageBreak/>
              <w:t>Equipos y bienes duraderos</w:t>
            </w:r>
          </w:p>
        </w:tc>
      </w:tr>
      <w:tr w:rsidR="00494871" w:rsidRPr="009C3322" w14:paraId="2C04829B" w14:textId="77777777" w:rsidTr="0079271A">
        <w:trPr>
          <w:trHeight w:val="220"/>
          <w:jc w:val="center"/>
        </w:trPr>
        <w:tc>
          <w:tcPr>
            <w:tcW w:w="8647" w:type="dxa"/>
            <w:gridSpan w:val="2"/>
          </w:tcPr>
          <w:p w14:paraId="4DC01783" w14:textId="77777777" w:rsidR="00494871" w:rsidRPr="009C3322" w:rsidRDefault="00494871" w:rsidP="00494871">
            <w:pPr>
              <w:pStyle w:val="Prrafodelista"/>
              <w:widowControl w:val="0"/>
              <w:numPr>
                <w:ilvl w:val="4"/>
                <w:numId w:val="2"/>
              </w:numPr>
              <w:tabs>
                <w:tab w:val="left" w:pos="315"/>
              </w:tabs>
              <w:ind w:left="315"/>
              <w:rPr>
                <w:rFonts w:asciiTheme="majorHAnsi" w:eastAsia="Calibri" w:hAnsiTheme="majorHAnsi" w:cstheme="majorHAnsi"/>
                <w:sz w:val="22"/>
                <w:szCs w:val="22"/>
              </w:rPr>
            </w:pPr>
            <w:r w:rsidRPr="009C3322">
              <w:rPr>
                <w:rFonts w:asciiTheme="majorHAnsi" w:eastAsia="Calibri" w:hAnsiTheme="majorHAnsi" w:cstheme="majorHAnsi"/>
                <w:sz w:val="22"/>
                <w:szCs w:val="22"/>
              </w:rPr>
              <w:t>Equipos menores relacionados al desarrollo del proyecto.</w:t>
            </w:r>
          </w:p>
          <w:p w14:paraId="5D52CD23" w14:textId="77777777" w:rsidR="00494871" w:rsidRPr="009C3322" w:rsidRDefault="00494871" w:rsidP="00494871">
            <w:pPr>
              <w:pStyle w:val="Prrafodelista"/>
              <w:widowControl w:val="0"/>
              <w:numPr>
                <w:ilvl w:val="4"/>
                <w:numId w:val="2"/>
              </w:numPr>
              <w:tabs>
                <w:tab w:val="left" w:pos="315"/>
              </w:tabs>
              <w:ind w:left="315"/>
              <w:rPr>
                <w:rFonts w:asciiTheme="majorHAnsi" w:eastAsia="Calibri" w:hAnsiTheme="majorHAnsi" w:cstheme="majorHAnsi"/>
                <w:sz w:val="22"/>
                <w:szCs w:val="22"/>
              </w:rPr>
            </w:pPr>
            <w:r w:rsidRPr="009C3322">
              <w:rPr>
                <w:rFonts w:asciiTheme="majorHAnsi" w:eastAsia="Calibri" w:hAnsiTheme="majorHAnsi" w:cstheme="majorHAnsi"/>
                <w:sz w:val="22"/>
                <w:szCs w:val="22"/>
              </w:rPr>
              <w:t>Pueden financiarse con RNR y aporte monetario del equipo.</w:t>
            </w:r>
          </w:p>
          <w:p w14:paraId="4C949BAB" w14:textId="77777777" w:rsidR="00494871" w:rsidRPr="009C3322" w:rsidRDefault="00494871" w:rsidP="00494871">
            <w:pPr>
              <w:pStyle w:val="Prrafodelista"/>
              <w:widowControl w:val="0"/>
              <w:numPr>
                <w:ilvl w:val="4"/>
                <w:numId w:val="2"/>
              </w:numPr>
              <w:tabs>
                <w:tab w:val="left" w:pos="315"/>
              </w:tabs>
              <w:ind w:left="315"/>
              <w:rPr>
                <w:rFonts w:asciiTheme="majorHAnsi" w:eastAsia="Calibri" w:hAnsiTheme="majorHAnsi" w:cstheme="majorHAnsi"/>
                <w:sz w:val="22"/>
                <w:szCs w:val="22"/>
              </w:rPr>
            </w:pPr>
            <w:r w:rsidRPr="009C3322">
              <w:rPr>
                <w:rFonts w:asciiTheme="majorHAnsi" w:eastAsia="Calibri" w:hAnsiTheme="majorHAnsi" w:cstheme="majorHAnsi"/>
                <w:sz w:val="22"/>
                <w:szCs w:val="22"/>
              </w:rPr>
              <w:t>Los gastos en equipos y bienes duraderos no pueden superar el 25% del Capital Semilla.</w:t>
            </w:r>
          </w:p>
          <w:p w14:paraId="7C24D4CC" w14:textId="77777777" w:rsidR="00494871" w:rsidRPr="009C3322" w:rsidRDefault="00494871" w:rsidP="0079271A">
            <w:pPr>
              <w:widowControl w:val="0"/>
              <w:tabs>
                <w:tab w:val="left" w:pos="315"/>
              </w:tabs>
              <w:rPr>
                <w:rFonts w:asciiTheme="majorHAnsi" w:eastAsia="Calibri" w:hAnsiTheme="majorHAnsi" w:cstheme="majorHAnsi"/>
                <w:sz w:val="22"/>
                <w:szCs w:val="22"/>
              </w:rPr>
            </w:pPr>
          </w:p>
        </w:tc>
      </w:tr>
      <w:tr w:rsidR="00494871" w:rsidRPr="009C3322" w14:paraId="33C0D871" w14:textId="77777777" w:rsidTr="0079271A">
        <w:trPr>
          <w:trHeight w:val="58"/>
          <w:jc w:val="center"/>
        </w:trPr>
        <w:tc>
          <w:tcPr>
            <w:tcW w:w="8647" w:type="dxa"/>
            <w:gridSpan w:val="2"/>
            <w:shd w:val="clear" w:color="auto" w:fill="F2F2F2" w:themeFill="background1" w:themeFillShade="F2"/>
          </w:tcPr>
          <w:p w14:paraId="44134EBF" w14:textId="77777777" w:rsidR="00494871" w:rsidRPr="009C3322" w:rsidRDefault="00494871" w:rsidP="0079271A">
            <w:pPr>
              <w:pBdr>
                <w:top w:val="nil"/>
                <w:left w:val="nil"/>
                <w:bottom w:val="nil"/>
                <w:right w:val="nil"/>
                <w:between w:val="nil"/>
              </w:pBdr>
              <w:jc w:val="both"/>
              <w:rPr>
                <w:rFonts w:asciiTheme="majorHAnsi" w:eastAsia="Calibri" w:hAnsiTheme="majorHAnsi" w:cstheme="majorHAnsi"/>
                <w:sz w:val="22"/>
                <w:szCs w:val="22"/>
              </w:rPr>
            </w:pPr>
            <w:r>
              <w:rPr>
                <w:rFonts w:asciiTheme="majorHAnsi" w:eastAsia="Calibri" w:hAnsiTheme="majorHAnsi" w:cstheme="majorHAnsi"/>
                <w:b/>
                <w:sz w:val="22"/>
                <w:szCs w:val="22"/>
              </w:rPr>
              <w:t xml:space="preserve">Nota: </w:t>
            </w:r>
            <w:r w:rsidRPr="009C3322">
              <w:rPr>
                <w:rFonts w:asciiTheme="majorHAnsi" w:eastAsia="Calibri" w:hAnsiTheme="majorHAnsi" w:cstheme="majorHAnsi"/>
                <w:b/>
                <w:sz w:val="22"/>
                <w:szCs w:val="22"/>
              </w:rPr>
              <w:t>Gastos sólo financiables con aporte monetario del equipo (no se financia con RNR)</w:t>
            </w:r>
          </w:p>
        </w:tc>
      </w:tr>
      <w:tr w:rsidR="00494871" w:rsidRPr="009C3322" w14:paraId="154F20AD" w14:textId="77777777" w:rsidTr="0079271A">
        <w:trPr>
          <w:trHeight w:val="220"/>
          <w:jc w:val="center"/>
        </w:trPr>
        <w:tc>
          <w:tcPr>
            <w:tcW w:w="8647" w:type="dxa"/>
            <w:gridSpan w:val="2"/>
          </w:tcPr>
          <w:p w14:paraId="083C45D7" w14:textId="77777777" w:rsidR="00494871" w:rsidRPr="009C3322" w:rsidRDefault="00494871" w:rsidP="00494871">
            <w:pPr>
              <w:pStyle w:val="Prrafodelista"/>
              <w:widowControl w:val="0"/>
              <w:numPr>
                <w:ilvl w:val="4"/>
                <w:numId w:val="2"/>
              </w:numPr>
              <w:tabs>
                <w:tab w:val="left" w:pos="315"/>
              </w:tabs>
              <w:ind w:left="315"/>
              <w:rPr>
                <w:rFonts w:asciiTheme="majorHAnsi" w:eastAsia="Calibri" w:hAnsiTheme="majorHAnsi" w:cstheme="majorHAnsi"/>
                <w:sz w:val="22"/>
                <w:szCs w:val="22"/>
              </w:rPr>
            </w:pPr>
            <w:r w:rsidRPr="009C3322">
              <w:rPr>
                <w:rFonts w:asciiTheme="majorHAnsi" w:eastAsia="Calibri" w:hAnsiTheme="majorHAnsi" w:cstheme="majorHAnsi"/>
                <w:sz w:val="22"/>
                <w:szCs w:val="22"/>
              </w:rPr>
              <w:t>IGV (impuesto general a las ventas) de facturas, fletes y desaduanaje.</w:t>
            </w:r>
          </w:p>
          <w:p w14:paraId="0B4FF3F8" w14:textId="77777777" w:rsidR="00494871" w:rsidRPr="009C3322" w:rsidRDefault="00494871" w:rsidP="0079271A">
            <w:pPr>
              <w:widowControl w:val="0"/>
              <w:tabs>
                <w:tab w:val="left" w:pos="315"/>
              </w:tabs>
              <w:rPr>
                <w:rFonts w:asciiTheme="majorHAnsi" w:eastAsia="Calibri" w:hAnsiTheme="majorHAnsi" w:cstheme="majorHAnsi"/>
                <w:sz w:val="22"/>
                <w:szCs w:val="22"/>
              </w:rPr>
            </w:pPr>
          </w:p>
        </w:tc>
      </w:tr>
    </w:tbl>
    <w:p w14:paraId="17A54D70" w14:textId="77777777" w:rsidR="00494871" w:rsidRPr="009C3322" w:rsidRDefault="00494871" w:rsidP="00494871">
      <w:pPr>
        <w:jc w:val="both"/>
        <w:rPr>
          <w:rFonts w:asciiTheme="majorHAnsi" w:eastAsia="Calibri" w:hAnsiTheme="majorHAnsi" w:cstheme="majorHAnsi"/>
          <w:sz w:val="22"/>
          <w:szCs w:val="22"/>
        </w:rPr>
      </w:pPr>
      <w:bookmarkStart w:id="4" w:name="_2et92p0" w:colFirst="0" w:colLast="0"/>
      <w:bookmarkEnd w:id="4"/>
    </w:p>
    <w:p w14:paraId="3B988B31" w14:textId="77777777" w:rsidR="00494871" w:rsidRPr="009C3322" w:rsidRDefault="00494871" w:rsidP="00494871">
      <w:pPr>
        <w:widowControl w:val="0"/>
        <w:autoSpaceDE w:val="0"/>
        <w:autoSpaceDN w:val="0"/>
        <w:ind w:right="273"/>
        <w:jc w:val="both"/>
        <w:rPr>
          <w:rFonts w:asciiTheme="majorHAnsi" w:hAnsiTheme="majorHAnsi" w:cstheme="majorHAnsi"/>
          <w:sz w:val="22"/>
          <w:szCs w:val="22"/>
        </w:rPr>
      </w:pPr>
      <w:r w:rsidRPr="009C3322">
        <w:rPr>
          <w:rFonts w:asciiTheme="majorHAnsi" w:hAnsiTheme="majorHAnsi" w:cstheme="majorHAnsi"/>
          <w:b/>
          <w:sz w:val="22"/>
          <w:szCs w:val="22"/>
        </w:rPr>
        <w:t>(*) Escala de viáticos permitida</w:t>
      </w:r>
    </w:p>
    <w:p w14:paraId="6620B7E8" w14:textId="77777777" w:rsidR="00494871" w:rsidRPr="009C3322" w:rsidRDefault="00494871" w:rsidP="00494871">
      <w:pPr>
        <w:ind w:right="273"/>
        <w:rPr>
          <w:rFonts w:asciiTheme="majorHAnsi" w:hAnsiTheme="majorHAnsi" w:cstheme="majorHAnsi"/>
          <w:sz w:val="22"/>
          <w:szCs w:val="22"/>
        </w:rPr>
      </w:pPr>
      <w:r w:rsidRPr="009C3322">
        <w:rPr>
          <w:rFonts w:asciiTheme="majorHAnsi" w:hAnsiTheme="majorHAnsi" w:cstheme="majorHAnsi"/>
          <w:sz w:val="22"/>
          <w:szCs w:val="22"/>
        </w:rPr>
        <w:t>Escala de viáticos nacionales permitida:</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77"/>
        <w:gridCol w:w="2428"/>
      </w:tblGrid>
      <w:tr w:rsidR="00494871" w:rsidRPr="009C3322" w14:paraId="65E73278" w14:textId="77777777" w:rsidTr="0079271A">
        <w:trPr>
          <w:trHeight w:val="54"/>
        </w:trPr>
        <w:tc>
          <w:tcPr>
            <w:tcW w:w="6077" w:type="dxa"/>
            <w:shd w:val="clear" w:color="auto" w:fill="F2F2F2" w:themeFill="background1" w:themeFillShade="F2"/>
          </w:tcPr>
          <w:p w14:paraId="103C28B5" w14:textId="77777777" w:rsidR="00494871" w:rsidRPr="009C3322" w:rsidRDefault="00494871" w:rsidP="0079271A">
            <w:pPr>
              <w:pStyle w:val="TableParagraph"/>
              <w:ind w:left="142" w:right="1785"/>
              <w:rPr>
                <w:rFonts w:asciiTheme="majorHAnsi" w:hAnsiTheme="majorHAnsi" w:cstheme="majorHAnsi"/>
                <w:b/>
                <w:lang w:eastAsia="es-PE"/>
              </w:rPr>
            </w:pPr>
            <w:r w:rsidRPr="009C3322">
              <w:rPr>
                <w:rFonts w:asciiTheme="majorHAnsi" w:hAnsiTheme="majorHAnsi" w:cstheme="majorHAnsi"/>
                <w:b/>
                <w:lang w:eastAsia="es-PE"/>
              </w:rPr>
              <w:t>Descripción</w:t>
            </w:r>
          </w:p>
        </w:tc>
        <w:tc>
          <w:tcPr>
            <w:tcW w:w="2428" w:type="dxa"/>
            <w:shd w:val="clear" w:color="auto" w:fill="F2F2F2" w:themeFill="background1" w:themeFillShade="F2"/>
          </w:tcPr>
          <w:p w14:paraId="6EF27108" w14:textId="77777777" w:rsidR="00494871" w:rsidRPr="009C3322" w:rsidRDefault="00494871" w:rsidP="0079271A">
            <w:pPr>
              <w:pStyle w:val="TableParagraph"/>
              <w:jc w:val="center"/>
              <w:rPr>
                <w:rFonts w:asciiTheme="majorHAnsi" w:hAnsiTheme="majorHAnsi" w:cstheme="majorHAnsi"/>
                <w:b/>
                <w:lang w:eastAsia="es-PE"/>
              </w:rPr>
            </w:pPr>
            <w:r w:rsidRPr="009C3322">
              <w:rPr>
                <w:rFonts w:asciiTheme="majorHAnsi" w:hAnsiTheme="majorHAnsi" w:cstheme="majorHAnsi"/>
                <w:b/>
                <w:lang w:eastAsia="es-PE"/>
              </w:rPr>
              <w:t>Asignación Diaria (PEN)</w:t>
            </w:r>
          </w:p>
        </w:tc>
      </w:tr>
      <w:tr w:rsidR="00494871" w:rsidRPr="009C3322" w14:paraId="3AE0C123" w14:textId="77777777" w:rsidTr="0079271A">
        <w:trPr>
          <w:trHeight w:val="54"/>
        </w:trPr>
        <w:tc>
          <w:tcPr>
            <w:tcW w:w="6077" w:type="dxa"/>
            <w:shd w:val="clear" w:color="auto" w:fill="auto"/>
          </w:tcPr>
          <w:p w14:paraId="71881B74" w14:textId="77777777" w:rsidR="00494871" w:rsidRPr="009C3322" w:rsidRDefault="00494871" w:rsidP="0079271A">
            <w:pPr>
              <w:pStyle w:val="TableParagraph"/>
              <w:ind w:left="115"/>
              <w:rPr>
                <w:rFonts w:asciiTheme="majorHAnsi" w:hAnsiTheme="majorHAnsi" w:cstheme="majorHAnsi"/>
              </w:rPr>
            </w:pPr>
            <w:r w:rsidRPr="009C3322">
              <w:rPr>
                <w:rFonts w:asciiTheme="majorHAnsi" w:hAnsiTheme="majorHAnsi" w:cstheme="majorHAnsi"/>
              </w:rPr>
              <w:t>Viáticos: Alimentación, hospedaje y movilidad local</w:t>
            </w:r>
          </w:p>
        </w:tc>
        <w:tc>
          <w:tcPr>
            <w:tcW w:w="2428" w:type="dxa"/>
            <w:shd w:val="clear" w:color="auto" w:fill="auto"/>
          </w:tcPr>
          <w:p w14:paraId="0D9226A2" w14:textId="77777777" w:rsidR="00494871" w:rsidRPr="009C3322" w:rsidRDefault="00494871" w:rsidP="0079271A">
            <w:pPr>
              <w:pStyle w:val="TableParagraph"/>
              <w:ind w:right="135"/>
              <w:jc w:val="center"/>
              <w:rPr>
                <w:rFonts w:asciiTheme="majorHAnsi" w:hAnsiTheme="majorHAnsi" w:cstheme="majorHAnsi"/>
              </w:rPr>
            </w:pPr>
            <w:r w:rsidRPr="009C3322">
              <w:rPr>
                <w:rFonts w:asciiTheme="majorHAnsi" w:hAnsiTheme="majorHAnsi" w:cstheme="majorHAnsi"/>
              </w:rPr>
              <w:t>S/ 320.00</w:t>
            </w:r>
          </w:p>
        </w:tc>
      </w:tr>
    </w:tbl>
    <w:p w14:paraId="5B5E1C9A" w14:textId="77777777" w:rsidR="00494871" w:rsidRPr="009C3322" w:rsidRDefault="00494871" w:rsidP="00494871">
      <w:pPr>
        <w:ind w:right="273"/>
        <w:rPr>
          <w:rFonts w:asciiTheme="majorHAnsi" w:hAnsiTheme="majorHAnsi" w:cstheme="majorHAnsi"/>
          <w:sz w:val="22"/>
          <w:szCs w:val="22"/>
        </w:rPr>
      </w:pPr>
      <w:r w:rsidRPr="009C3322">
        <w:rPr>
          <w:rFonts w:asciiTheme="majorHAnsi" w:hAnsiTheme="majorHAnsi" w:cstheme="majorHAnsi"/>
          <w:sz w:val="22"/>
          <w:szCs w:val="22"/>
        </w:rPr>
        <w:t xml:space="preserve">D.S. </w:t>
      </w:r>
      <w:proofErr w:type="spellStart"/>
      <w:r w:rsidRPr="009C3322">
        <w:rPr>
          <w:rFonts w:asciiTheme="majorHAnsi" w:hAnsiTheme="majorHAnsi" w:cstheme="majorHAnsi"/>
          <w:sz w:val="22"/>
          <w:szCs w:val="22"/>
        </w:rPr>
        <w:t>N°</w:t>
      </w:r>
      <w:proofErr w:type="spellEnd"/>
      <w:r w:rsidRPr="009C3322">
        <w:rPr>
          <w:rFonts w:asciiTheme="majorHAnsi" w:hAnsiTheme="majorHAnsi" w:cstheme="majorHAnsi"/>
          <w:sz w:val="22"/>
          <w:szCs w:val="22"/>
        </w:rPr>
        <w:t xml:space="preserve"> 007-2013-EF (23.01.13) </w:t>
      </w:r>
    </w:p>
    <w:p w14:paraId="447C2553" w14:textId="77777777" w:rsidR="00494871" w:rsidRPr="009C3322" w:rsidRDefault="00494871" w:rsidP="00494871">
      <w:pPr>
        <w:pStyle w:val="Prrafodelista"/>
        <w:ind w:left="1701" w:right="273"/>
        <w:rPr>
          <w:rFonts w:asciiTheme="majorHAnsi" w:hAnsiTheme="majorHAnsi" w:cstheme="majorHAnsi"/>
          <w:sz w:val="22"/>
          <w:szCs w:val="22"/>
        </w:rPr>
      </w:pPr>
    </w:p>
    <w:p w14:paraId="69B0B1C6" w14:textId="77777777" w:rsidR="00494871" w:rsidRPr="009C3322" w:rsidRDefault="00494871" w:rsidP="00494871">
      <w:pPr>
        <w:ind w:right="273"/>
        <w:rPr>
          <w:rFonts w:asciiTheme="majorHAnsi" w:hAnsiTheme="majorHAnsi" w:cstheme="majorHAnsi"/>
          <w:sz w:val="22"/>
          <w:szCs w:val="22"/>
        </w:rPr>
      </w:pPr>
      <w:r w:rsidRPr="009C3322">
        <w:rPr>
          <w:rFonts w:asciiTheme="majorHAnsi" w:hAnsiTheme="majorHAnsi" w:cstheme="majorHAnsi"/>
          <w:sz w:val="22"/>
          <w:szCs w:val="22"/>
        </w:rPr>
        <w:t>Escala de viáticos internacionales permitida (alimentación, hospedaje y movilidad local):</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6"/>
        <w:gridCol w:w="2409"/>
      </w:tblGrid>
      <w:tr w:rsidR="00494871" w:rsidRPr="009C3322" w14:paraId="6A66C99E" w14:textId="77777777" w:rsidTr="0079271A">
        <w:trPr>
          <w:trHeight w:val="54"/>
        </w:trPr>
        <w:tc>
          <w:tcPr>
            <w:tcW w:w="6096" w:type="dxa"/>
            <w:shd w:val="clear" w:color="auto" w:fill="F2F2F2" w:themeFill="background1" w:themeFillShade="F2"/>
          </w:tcPr>
          <w:p w14:paraId="3AA0E3DA" w14:textId="77777777" w:rsidR="00494871" w:rsidRPr="009C3322" w:rsidRDefault="00494871" w:rsidP="0079271A">
            <w:pPr>
              <w:pStyle w:val="TableParagraph"/>
              <w:ind w:left="142" w:right="1785"/>
              <w:rPr>
                <w:rFonts w:asciiTheme="majorHAnsi" w:hAnsiTheme="majorHAnsi" w:cstheme="majorHAnsi"/>
                <w:b/>
                <w:lang w:eastAsia="es-PE"/>
              </w:rPr>
            </w:pPr>
            <w:r w:rsidRPr="009C3322">
              <w:rPr>
                <w:rFonts w:asciiTheme="majorHAnsi" w:hAnsiTheme="majorHAnsi" w:cstheme="majorHAnsi"/>
                <w:b/>
                <w:lang w:eastAsia="es-PE"/>
              </w:rPr>
              <w:t>Zonas Geográficas</w:t>
            </w:r>
          </w:p>
        </w:tc>
        <w:tc>
          <w:tcPr>
            <w:tcW w:w="2409" w:type="dxa"/>
            <w:shd w:val="clear" w:color="auto" w:fill="F2F2F2" w:themeFill="background1" w:themeFillShade="F2"/>
          </w:tcPr>
          <w:p w14:paraId="495203C0" w14:textId="77777777" w:rsidR="00494871" w:rsidRPr="009C3322" w:rsidRDefault="00494871" w:rsidP="0079271A">
            <w:pPr>
              <w:pStyle w:val="TableParagraph"/>
              <w:jc w:val="center"/>
              <w:rPr>
                <w:rFonts w:asciiTheme="majorHAnsi" w:hAnsiTheme="majorHAnsi" w:cstheme="majorHAnsi"/>
                <w:b/>
                <w:w w:val="80"/>
              </w:rPr>
            </w:pPr>
            <w:r w:rsidRPr="009C3322">
              <w:rPr>
                <w:rFonts w:asciiTheme="majorHAnsi" w:hAnsiTheme="majorHAnsi" w:cstheme="majorHAnsi"/>
                <w:b/>
                <w:lang w:eastAsia="es-PE"/>
              </w:rPr>
              <w:t>Asignación Diaria (USD)</w:t>
            </w:r>
          </w:p>
        </w:tc>
      </w:tr>
      <w:tr w:rsidR="00494871" w:rsidRPr="009C3322" w14:paraId="0101580E" w14:textId="77777777" w:rsidTr="0079271A">
        <w:trPr>
          <w:trHeight w:val="54"/>
        </w:trPr>
        <w:tc>
          <w:tcPr>
            <w:tcW w:w="6096" w:type="dxa"/>
            <w:shd w:val="clear" w:color="auto" w:fill="auto"/>
          </w:tcPr>
          <w:p w14:paraId="0451AFAF" w14:textId="77777777" w:rsidR="00494871" w:rsidRPr="009C3322" w:rsidRDefault="00494871" w:rsidP="0079271A">
            <w:pPr>
              <w:pStyle w:val="TableParagraph"/>
              <w:ind w:left="115"/>
              <w:rPr>
                <w:rFonts w:asciiTheme="majorHAnsi" w:hAnsiTheme="majorHAnsi" w:cstheme="majorHAnsi"/>
              </w:rPr>
            </w:pPr>
            <w:r w:rsidRPr="009C3322">
              <w:rPr>
                <w:rFonts w:asciiTheme="majorHAnsi" w:hAnsiTheme="majorHAnsi" w:cstheme="majorHAnsi"/>
              </w:rPr>
              <w:t>África</w:t>
            </w:r>
          </w:p>
        </w:tc>
        <w:tc>
          <w:tcPr>
            <w:tcW w:w="2409" w:type="dxa"/>
            <w:shd w:val="clear" w:color="auto" w:fill="auto"/>
          </w:tcPr>
          <w:p w14:paraId="4CCD74A9" w14:textId="77777777" w:rsidR="00494871" w:rsidRPr="009C3322" w:rsidRDefault="00494871" w:rsidP="0079271A">
            <w:pPr>
              <w:pStyle w:val="TableParagraph"/>
              <w:jc w:val="center"/>
              <w:rPr>
                <w:rFonts w:asciiTheme="majorHAnsi" w:hAnsiTheme="majorHAnsi" w:cstheme="majorHAnsi"/>
              </w:rPr>
            </w:pPr>
            <w:r w:rsidRPr="009C3322">
              <w:rPr>
                <w:rFonts w:asciiTheme="majorHAnsi" w:hAnsiTheme="majorHAnsi" w:cstheme="majorHAnsi"/>
              </w:rPr>
              <w:t>480.00</w:t>
            </w:r>
          </w:p>
        </w:tc>
      </w:tr>
      <w:tr w:rsidR="00494871" w:rsidRPr="009C3322" w14:paraId="533F3FB9" w14:textId="77777777" w:rsidTr="0079271A">
        <w:trPr>
          <w:trHeight w:val="54"/>
        </w:trPr>
        <w:tc>
          <w:tcPr>
            <w:tcW w:w="6096" w:type="dxa"/>
            <w:shd w:val="clear" w:color="auto" w:fill="auto"/>
          </w:tcPr>
          <w:p w14:paraId="2B9BD0B4" w14:textId="77777777" w:rsidR="00494871" w:rsidRPr="009C3322" w:rsidRDefault="00494871" w:rsidP="0079271A">
            <w:pPr>
              <w:pStyle w:val="TableParagraph"/>
              <w:ind w:left="115"/>
              <w:rPr>
                <w:rFonts w:asciiTheme="majorHAnsi" w:hAnsiTheme="majorHAnsi" w:cstheme="majorHAnsi"/>
              </w:rPr>
            </w:pPr>
            <w:r w:rsidRPr="009C3322">
              <w:rPr>
                <w:rFonts w:asciiTheme="majorHAnsi" w:hAnsiTheme="majorHAnsi" w:cstheme="majorHAnsi"/>
              </w:rPr>
              <w:t>América Central</w:t>
            </w:r>
          </w:p>
        </w:tc>
        <w:tc>
          <w:tcPr>
            <w:tcW w:w="2409" w:type="dxa"/>
            <w:shd w:val="clear" w:color="auto" w:fill="auto"/>
          </w:tcPr>
          <w:p w14:paraId="13A2450A" w14:textId="77777777" w:rsidR="00494871" w:rsidRPr="009C3322" w:rsidRDefault="00494871" w:rsidP="0079271A">
            <w:pPr>
              <w:pStyle w:val="TableParagraph"/>
              <w:jc w:val="center"/>
              <w:rPr>
                <w:rFonts w:asciiTheme="majorHAnsi" w:hAnsiTheme="majorHAnsi" w:cstheme="majorHAnsi"/>
              </w:rPr>
            </w:pPr>
            <w:r w:rsidRPr="009C3322">
              <w:rPr>
                <w:rFonts w:asciiTheme="majorHAnsi" w:hAnsiTheme="majorHAnsi" w:cstheme="majorHAnsi"/>
              </w:rPr>
              <w:t>315.00</w:t>
            </w:r>
          </w:p>
        </w:tc>
      </w:tr>
      <w:tr w:rsidR="00494871" w:rsidRPr="009C3322" w14:paraId="55C1AC59" w14:textId="77777777" w:rsidTr="0079271A">
        <w:trPr>
          <w:trHeight w:val="54"/>
        </w:trPr>
        <w:tc>
          <w:tcPr>
            <w:tcW w:w="6096" w:type="dxa"/>
            <w:shd w:val="clear" w:color="auto" w:fill="auto"/>
          </w:tcPr>
          <w:p w14:paraId="3C7C8F69" w14:textId="77777777" w:rsidR="00494871" w:rsidRPr="009C3322" w:rsidRDefault="00494871" w:rsidP="0079271A">
            <w:pPr>
              <w:pStyle w:val="TableParagraph"/>
              <w:ind w:left="115"/>
              <w:rPr>
                <w:rFonts w:asciiTheme="majorHAnsi" w:hAnsiTheme="majorHAnsi" w:cstheme="majorHAnsi"/>
              </w:rPr>
            </w:pPr>
            <w:r w:rsidRPr="009C3322">
              <w:rPr>
                <w:rFonts w:asciiTheme="majorHAnsi" w:hAnsiTheme="majorHAnsi" w:cstheme="majorHAnsi"/>
              </w:rPr>
              <w:t>América del Norte</w:t>
            </w:r>
          </w:p>
        </w:tc>
        <w:tc>
          <w:tcPr>
            <w:tcW w:w="2409" w:type="dxa"/>
            <w:shd w:val="clear" w:color="auto" w:fill="auto"/>
          </w:tcPr>
          <w:p w14:paraId="11968038" w14:textId="77777777" w:rsidR="00494871" w:rsidRPr="009C3322" w:rsidRDefault="00494871" w:rsidP="0079271A">
            <w:pPr>
              <w:pStyle w:val="TableParagraph"/>
              <w:jc w:val="center"/>
              <w:rPr>
                <w:rFonts w:asciiTheme="majorHAnsi" w:hAnsiTheme="majorHAnsi" w:cstheme="majorHAnsi"/>
              </w:rPr>
            </w:pPr>
            <w:r w:rsidRPr="009C3322">
              <w:rPr>
                <w:rFonts w:asciiTheme="majorHAnsi" w:hAnsiTheme="majorHAnsi" w:cstheme="majorHAnsi"/>
              </w:rPr>
              <w:t>440.00</w:t>
            </w:r>
          </w:p>
        </w:tc>
      </w:tr>
      <w:tr w:rsidR="00494871" w:rsidRPr="009C3322" w14:paraId="43551A43" w14:textId="77777777" w:rsidTr="0079271A">
        <w:trPr>
          <w:trHeight w:val="54"/>
        </w:trPr>
        <w:tc>
          <w:tcPr>
            <w:tcW w:w="6096" w:type="dxa"/>
            <w:shd w:val="clear" w:color="auto" w:fill="auto"/>
          </w:tcPr>
          <w:p w14:paraId="01FDC188" w14:textId="77777777" w:rsidR="00494871" w:rsidRPr="009C3322" w:rsidRDefault="00494871" w:rsidP="0079271A">
            <w:pPr>
              <w:pStyle w:val="TableParagraph"/>
              <w:ind w:left="115"/>
              <w:rPr>
                <w:rFonts w:asciiTheme="majorHAnsi" w:hAnsiTheme="majorHAnsi" w:cstheme="majorHAnsi"/>
              </w:rPr>
            </w:pPr>
            <w:r w:rsidRPr="009C3322">
              <w:rPr>
                <w:rFonts w:asciiTheme="majorHAnsi" w:hAnsiTheme="majorHAnsi" w:cstheme="majorHAnsi"/>
              </w:rPr>
              <w:t>América del Sur</w:t>
            </w:r>
          </w:p>
        </w:tc>
        <w:tc>
          <w:tcPr>
            <w:tcW w:w="2409" w:type="dxa"/>
            <w:shd w:val="clear" w:color="auto" w:fill="auto"/>
          </w:tcPr>
          <w:p w14:paraId="7EF620CB" w14:textId="77777777" w:rsidR="00494871" w:rsidRPr="009C3322" w:rsidRDefault="00494871" w:rsidP="0079271A">
            <w:pPr>
              <w:pStyle w:val="TableParagraph"/>
              <w:jc w:val="center"/>
              <w:rPr>
                <w:rFonts w:asciiTheme="majorHAnsi" w:hAnsiTheme="majorHAnsi" w:cstheme="majorHAnsi"/>
              </w:rPr>
            </w:pPr>
            <w:r w:rsidRPr="009C3322">
              <w:rPr>
                <w:rFonts w:asciiTheme="majorHAnsi" w:hAnsiTheme="majorHAnsi" w:cstheme="majorHAnsi"/>
              </w:rPr>
              <w:t>370.00</w:t>
            </w:r>
          </w:p>
        </w:tc>
      </w:tr>
      <w:tr w:rsidR="00494871" w:rsidRPr="009C3322" w14:paraId="781C8C65" w14:textId="77777777" w:rsidTr="0079271A">
        <w:trPr>
          <w:trHeight w:val="54"/>
        </w:trPr>
        <w:tc>
          <w:tcPr>
            <w:tcW w:w="6096" w:type="dxa"/>
            <w:shd w:val="clear" w:color="auto" w:fill="auto"/>
          </w:tcPr>
          <w:p w14:paraId="32DD5954" w14:textId="77777777" w:rsidR="00494871" w:rsidRPr="009C3322" w:rsidRDefault="00494871" w:rsidP="0079271A">
            <w:pPr>
              <w:pStyle w:val="TableParagraph"/>
              <w:ind w:left="115"/>
              <w:rPr>
                <w:rFonts w:asciiTheme="majorHAnsi" w:hAnsiTheme="majorHAnsi" w:cstheme="majorHAnsi"/>
              </w:rPr>
            </w:pPr>
            <w:r w:rsidRPr="009C3322">
              <w:rPr>
                <w:rFonts w:asciiTheme="majorHAnsi" w:hAnsiTheme="majorHAnsi" w:cstheme="majorHAnsi"/>
              </w:rPr>
              <w:t>Asia</w:t>
            </w:r>
          </w:p>
        </w:tc>
        <w:tc>
          <w:tcPr>
            <w:tcW w:w="2409" w:type="dxa"/>
            <w:shd w:val="clear" w:color="auto" w:fill="auto"/>
          </w:tcPr>
          <w:p w14:paraId="70B8AEF3" w14:textId="77777777" w:rsidR="00494871" w:rsidRPr="009C3322" w:rsidRDefault="00494871" w:rsidP="0079271A">
            <w:pPr>
              <w:pStyle w:val="TableParagraph"/>
              <w:jc w:val="center"/>
              <w:rPr>
                <w:rFonts w:asciiTheme="majorHAnsi" w:hAnsiTheme="majorHAnsi" w:cstheme="majorHAnsi"/>
              </w:rPr>
            </w:pPr>
            <w:r w:rsidRPr="009C3322">
              <w:rPr>
                <w:rFonts w:asciiTheme="majorHAnsi" w:hAnsiTheme="majorHAnsi" w:cstheme="majorHAnsi"/>
              </w:rPr>
              <w:t>500.00</w:t>
            </w:r>
          </w:p>
        </w:tc>
      </w:tr>
      <w:tr w:rsidR="00494871" w:rsidRPr="009C3322" w14:paraId="0FE2C980" w14:textId="77777777" w:rsidTr="0079271A">
        <w:trPr>
          <w:trHeight w:val="54"/>
        </w:trPr>
        <w:tc>
          <w:tcPr>
            <w:tcW w:w="6096" w:type="dxa"/>
            <w:shd w:val="clear" w:color="auto" w:fill="auto"/>
          </w:tcPr>
          <w:p w14:paraId="7A430316" w14:textId="77777777" w:rsidR="00494871" w:rsidRPr="009C3322" w:rsidRDefault="00494871" w:rsidP="0079271A">
            <w:pPr>
              <w:pStyle w:val="TableParagraph"/>
              <w:ind w:left="115"/>
              <w:rPr>
                <w:rFonts w:asciiTheme="majorHAnsi" w:hAnsiTheme="majorHAnsi" w:cstheme="majorHAnsi"/>
              </w:rPr>
            </w:pPr>
            <w:r w:rsidRPr="009C3322">
              <w:rPr>
                <w:rFonts w:asciiTheme="majorHAnsi" w:hAnsiTheme="majorHAnsi" w:cstheme="majorHAnsi"/>
              </w:rPr>
              <w:t>Medio Oriente</w:t>
            </w:r>
          </w:p>
        </w:tc>
        <w:tc>
          <w:tcPr>
            <w:tcW w:w="2409" w:type="dxa"/>
            <w:shd w:val="clear" w:color="auto" w:fill="auto"/>
          </w:tcPr>
          <w:p w14:paraId="77DA61B1" w14:textId="77777777" w:rsidR="00494871" w:rsidRPr="009C3322" w:rsidRDefault="00494871" w:rsidP="0079271A">
            <w:pPr>
              <w:pStyle w:val="TableParagraph"/>
              <w:jc w:val="center"/>
              <w:rPr>
                <w:rFonts w:asciiTheme="majorHAnsi" w:hAnsiTheme="majorHAnsi" w:cstheme="majorHAnsi"/>
              </w:rPr>
            </w:pPr>
            <w:r w:rsidRPr="009C3322">
              <w:rPr>
                <w:rFonts w:asciiTheme="majorHAnsi" w:hAnsiTheme="majorHAnsi" w:cstheme="majorHAnsi"/>
              </w:rPr>
              <w:t>510.00</w:t>
            </w:r>
          </w:p>
        </w:tc>
      </w:tr>
      <w:tr w:rsidR="00494871" w:rsidRPr="009C3322" w14:paraId="73CA4F3B" w14:textId="77777777" w:rsidTr="0079271A">
        <w:trPr>
          <w:trHeight w:val="54"/>
        </w:trPr>
        <w:tc>
          <w:tcPr>
            <w:tcW w:w="6096" w:type="dxa"/>
            <w:shd w:val="clear" w:color="auto" w:fill="auto"/>
          </w:tcPr>
          <w:p w14:paraId="0A58F345" w14:textId="77777777" w:rsidR="00494871" w:rsidRPr="009C3322" w:rsidRDefault="00494871" w:rsidP="0079271A">
            <w:pPr>
              <w:pStyle w:val="TableParagraph"/>
              <w:ind w:left="115"/>
              <w:rPr>
                <w:rFonts w:asciiTheme="majorHAnsi" w:hAnsiTheme="majorHAnsi" w:cstheme="majorHAnsi"/>
              </w:rPr>
            </w:pPr>
            <w:r w:rsidRPr="009C3322">
              <w:rPr>
                <w:rFonts w:asciiTheme="majorHAnsi" w:hAnsiTheme="majorHAnsi" w:cstheme="majorHAnsi"/>
              </w:rPr>
              <w:t>Caribe</w:t>
            </w:r>
          </w:p>
        </w:tc>
        <w:tc>
          <w:tcPr>
            <w:tcW w:w="2409" w:type="dxa"/>
            <w:shd w:val="clear" w:color="auto" w:fill="auto"/>
          </w:tcPr>
          <w:p w14:paraId="11794149" w14:textId="77777777" w:rsidR="00494871" w:rsidRPr="009C3322" w:rsidRDefault="00494871" w:rsidP="0079271A">
            <w:pPr>
              <w:pStyle w:val="TableParagraph"/>
              <w:jc w:val="center"/>
              <w:rPr>
                <w:rFonts w:asciiTheme="majorHAnsi" w:hAnsiTheme="majorHAnsi" w:cstheme="majorHAnsi"/>
              </w:rPr>
            </w:pPr>
            <w:r w:rsidRPr="009C3322">
              <w:rPr>
                <w:rFonts w:asciiTheme="majorHAnsi" w:hAnsiTheme="majorHAnsi" w:cstheme="majorHAnsi"/>
              </w:rPr>
              <w:t>430.00</w:t>
            </w:r>
          </w:p>
        </w:tc>
      </w:tr>
      <w:tr w:rsidR="00494871" w:rsidRPr="009C3322" w14:paraId="14B83F1C" w14:textId="77777777" w:rsidTr="0079271A">
        <w:trPr>
          <w:trHeight w:val="54"/>
        </w:trPr>
        <w:tc>
          <w:tcPr>
            <w:tcW w:w="6096" w:type="dxa"/>
            <w:shd w:val="clear" w:color="auto" w:fill="auto"/>
          </w:tcPr>
          <w:p w14:paraId="334E6FBD" w14:textId="77777777" w:rsidR="00494871" w:rsidRPr="009C3322" w:rsidRDefault="00494871" w:rsidP="0079271A">
            <w:pPr>
              <w:pStyle w:val="TableParagraph"/>
              <w:ind w:left="115"/>
              <w:rPr>
                <w:rFonts w:asciiTheme="majorHAnsi" w:hAnsiTheme="majorHAnsi" w:cstheme="majorHAnsi"/>
              </w:rPr>
            </w:pPr>
            <w:r w:rsidRPr="009C3322">
              <w:rPr>
                <w:rFonts w:asciiTheme="majorHAnsi" w:hAnsiTheme="majorHAnsi" w:cstheme="majorHAnsi"/>
              </w:rPr>
              <w:t>Europa</w:t>
            </w:r>
          </w:p>
        </w:tc>
        <w:tc>
          <w:tcPr>
            <w:tcW w:w="2409" w:type="dxa"/>
            <w:shd w:val="clear" w:color="auto" w:fill="auto"/>
          </w:tcPr>
          <w:p w14:paraId="63216F50" w14:textId="77777777" w:rsidR="00494871" w:rsidRPr="009C3322" w:rsidRDefault="00494871" w:rsidP="0079271A">
            <w:pPr>
              <w:pStyle w:val="TableParagraph"/>
              <w:jc w:val="center"/>
              <w:rPr>
                <w:rFonts w:asciiTheme="majorHAnsi" w:hAnsiTheme="majorHAnsi" w:cstheme="majorHAnsi"/>
              </w:rPr>
            </w:pPr>
            <w:r w:rsidRPr="009C3322">
              <w:rPr>
                <w:rFonts w:asciiTheme="majorHAnsi" w:hAnsiTheme="majorHAnsi" w:cstheme="majorHAnsi"/>
              </w:rPr>
              <w:t>540.00</w:t>
            </w:r>
          </w:p>
        </w:tc>
      </w:tr>
      <w:tr w:rsidR="00494871" w:rsidRPr="009C3322" w14:paraId="21442E7F" w14:textId="77777777" w:rsidTr="0079271A">
        <w:trPr>
          <w:trHeight w:val="54"/>
        </w:trPr>
        <w:tc>
          <w:tcPr>
            <w:tcW w:w="6096" w:type="dxa"/>
            <w:shd w:val="clear" w:color="auto" w:fill="auto"/>
          </w:tcPr>
          <w:p w14:paraId="7B59CFFD" w14:textId="77777777" w:rsidR="00494871" w:rsidRPr="009C3322" w:rsidRDefault="00494871" w:rsidP="0079271A">
            <w:pPr>
              <w:pStyle w:val="TableParagraph"/>
              <w:ind w:left="115"/>
              <w:rPr>
                <w:rFonts w:asciiTheme="majorHAnsi" w:hAnsiTheme="majorHAnsi" w:cstheme="majorHAnsi"/>
              </w:rPr>
            </w:pPr>
            <w:r w:rsidRPr="009C3322">
              <w:rPr>
                <w:rFonts w:asciiTheme="majorHAnsi" w:hAnsiTheme="majorHAnsi" w:cstheme="majorHAnsi"/>
              </w:rPr>
              <w:t>Oceanía</w:t>
            </w:r>
          </w:p>
        </w:tc>
        <w:tc>
          <w:tcPr>
            <w:tcW w:w="2409" w:type="dxa"/>
            <w:shd w:val="clear" w:color="auto" w:fill="auto"/>
          </w:tcPr>
          <w:p w14:paraId="3F8D0D4E" w14:textId="77777777" w:rsidR="00494871" w:rsidRPr="009C3322" w:rsidRDefault="00494871" w:rsidP="0079271A">
            <w:pPr>
              <w:pStyle w:val="TableParagraph"/>
              <w:jc w:val="center"/>
              <w:rPr>
                <w:rFonts w:asciiTheme="majorHAnsi" w:hAnsiTheme="majorHAnsi" w:cstheme="majorHAnsi"/>
              </w:rPr>
            </w:pPr>
            <w:r w:rsidRPr="009C3322">
              <w:rPr>
                <w:rFonts w:asciiTheme="majorHAnsi" w:hAnsiTheme="majorHAnsi" w:cstheme="majorHAnsi"/>
              </w:rPr>
              <w:t>385.00</w:t>
            </w:r>
          </w:p>
        </w:tc>
      </w:tr>
    </w:tbl>
    <w:p w14:paraId="4FB88AB6" w14:textId="77777777" w:rsidR="00494871" w:rsidRPr="009C3322" w:rsidRDefault="00494871" w:rsidP="00494871">
      <w:pPr>
        <w:ind w:right="273"/>
        <w:rPr>
          <w:rFonts w:asciiTheme="majorHAnsi" w:hAnsiTheme="majorHAnsi" w:cstheme="majorHAnsi"/>
          <w:sz w:val="22"/>
          <w:szCs w:val="22"/>
        </w:rPr>
      </w:pPr>
      <w:r w:rsidRPr="009C3322">
        <w:rPr>
          <w:rFonts w:asciiTheme="majorHAnsi" w:hAnsiTheme="majorHAnsi" w:cstheme="majorHAnsi"/>
          <w:sz w:val="22"/>
          <w:szCs w:val="22"/>
        </w:rPr>
        <w:t xml:space="preserve">D.S. </w:t>
      </w:r>
      <w:proofErr w:type="spellStart"/>
      <w:r w:rsidRPr="009C3322">
        <w:rPr>
          <w:rFonts w:asciiTheme="majorHAnsi" w:hAnsiTheme="majorHAnsi" w:cstheme="majorHAnsi"/>
          <w:sz w:val="22"/>
          <w:szCs w:val="22"/>
        </w:rPr>
        <w:t>N°</w:t>
      </w:r>
      <w:proofErr w:type="spellEnd"/>
      <w:r w:rsidRPr="009C3322">
        <w:rPr>
          <w:rFonts w:asciiTheme="majorHAnsi" w:hAnsiTheme="majorHAnsi" w:cstheme="majorHAnsi"/>
          <w:sz w:val="22"/>
          <w:szCs w:val="22"/>
        </w:rPr>
        <w:t xml:space="preserve"> 056-2013-PCM (19.05.13)</w:t>
      </w:r>
    </w:p>
    <w:p w14:paraId="75AE5A61" w14:textId="77777777" w:rsidR="00494871" w:rsidRPr="009C3322" w:rsidRDefault="00494871" w:rsidP="00494871">
      <w:pPr>
        <w:jc w:val="both"/>
        <w:rPr>
          <w:rFonts w:asciiTheme="majorHAnsi" w:eastAsia="Calibri" w:hAnsiTheme="majorHAnsi" w:cstheme="majorHAnsi"/>
          <w:sz w:val="22"/>
          <w:szCs w:val="22"/>
        </w:rPr>
      </w:pPr>
    </w:p>
    <w:p w14:paraId="3CCE3B84" w14:textId="77777777" w:rsidR="00494871" w:rsidRPr="009C3322" w:rsidRDefault="00494871" w:rsidP="00494871">
      <w:pPr>
        <w:pBdr>
          <w:top w:val="nil"/>
          <w:left w:val="nil"/>
          <w:bottom w:val="nil"/>
          <w:right w:val="nil"/>
          <w:between w:val="nil"/>
        </w:pBdr>
        <w:shd w:val="clear" w:color="auto" w:fill="F2F2F2" w:themeFill="background1" w:themeFillShade="F2"/>
        <w:jc w:val="both"/>
        <w:rPr>
          <w:rFonts w:asciiTheme="majorHAnsi" w:eastAsia="Calibri" w:hAnsiTheme="majorHAnsi" w:cstheme="majorHAnsi"/>
          <w:sz w:val="22"/>
          <w:szCs w:val="22"/>
        </w:rPr>
      </w:pPr>
      <w:r w:rsidRPr="009C3322">
        <w:rPr>
          <w:rFonts w:asciiTheme="majorHAnsi" w:eastAsia="Calibri" w:hAnsiTheme="majorHAnsi" w:cstheme="majorHAnsi"/>
          <w:b/>
          <w:sz w:val="22"/>
          <w:szCs w:val="22"/>
        </w:rPr>
        <w:t>GASTOS NO ELEGIBLES</w:t>
      </w:r>
    </w:p>
    <w:p w14:paraId="4ECE0F98" w14:textId="77777777" w:rsidR="00494871" w:rsidRPr="009C3322" w:rsidRDefault="00494871" w:rsidP="00494871">
      <w:pPr>
        <w:pBdr>
          <w:top w:val="nil"/>
          <w:left w:val="nil"/>
          <w:bottom w:val="nil"/>
          <w:right w:val="nil"/>
          <w:between w:val="nil"/>
        </w:pBdr>
        <w:ind w:left="426"/>
        <w:jc w:val="both"/>
        <w:rPr>
          <w:rFonts w:asciiTheme="majorHAnsi" w:eastAsia="Calibri" w:hAnsiTheme="majorHAnsi" w:cstheme="majorHAnsi"/>
          <w:sz w:val="22"/>
          <w:szCs w:val="22"/>
        </w:rPr>
      </w:pPr>
    </w:p>
    <w:p w14:paraId="52390F7D" w14:textId="77777777" w:rsidR="00494871" w:rsidRPr="009C3322" w:rsidRDefault="00494871" w:rsidP="00494871">
      <w:pPr>
        <w:widowControl w:val="0"/>
        <w:tabs>
          <w:tab w:val="left" w:pos="222"/>
        </w:tabs>
        <w:jc w:val="both"/>
        <w:rPr>
          <w:rFonts w:asciiTheme="majorHAnsi" w:eastAsia="Calibri" w:hAnsiTheme="majorHAnsi" w:cstheme="majorHAnsi"/>
          <w:sz w:val="22"/>
          <w:szCs w:val="22"/>
        </w:rPr>
      </w:pPr>
      <w:r w:rsidRPr="009C3322">
        <w:rPr>
          <w:rFonts w:asciiTheme="majorHAnsi" w:eastAsia="Calibri" w:hAnsiTheme="majorHAnsi" w:cstheme="majorHAnsi"/>
          <w:sz w:val="22"/>
          <w:szCs w:val="22"/>
        </w:rPr>
        <w:t xml:space="preserve">Son </w:t>
      </w:r>
      <w:r w:rsidRPr="009C3322">
        <w:rPr>
          <w:rFonts w:asciiTheme="majorHAnsi" w:eastAsia="Calibri" w:hAnsiTheme="majorHAnsi" w:cstheme="majorHAnsi"/>
          <w:b/>
          <w:bCs/>
          <w:sz w:val="22"/>
          <w:szCs w:val="22"/>
        </w:rPr>
        <w:t>gastos no elegibles</w:t>
      </w:r>
      <w:r w:rsidRPr="009C3322">
        <w:rPr>
          <w:rFonts w:asciiTheme="majorHAnsi" w:eastAsia="Calibri" w:hAnsiTheme="majorHAnsi" w:cstheme="majorHAnsi"/>
          <w:sz w:val="22"/>
          <w:szCs w:val="22"/>
        </w:rPr>
        <w:t xml:space="preserve"> los siguientes:</w:t>
      </w:r>
    </w:p>
    <w:p w14:paraId="7213FD02" w14:textId="77777777" w:rsidR="00494871" w:rsidRPr="009C3322" w:rsidRDefault="00494871" w:rsidP="00494871">
      <w:pPr>
        <w:widowControl w:val="0"/>
        <w:tabs>
          <w:tab w:val="left" w:pos="222"/>
        </w:tabs>
        <w:jc w:val="both"/>
        <w:rPr>
          <w:rFonts w:asciiTheme="majorHAnsi" w:eastAsia="Calibri" w:hAnsiTheme="majorHAnsi" w:cstheme="majorHAnsi"/>
          <w:sz w:val="22"/>
          <w:szCs w:val="22"/>
        </w:rPr>
      </w:pPr>
    </w:p>
    <w:p w14:paraId="03DE2453" w14:textId="77777777" w:rsidR="00494871" w:rsidRPr="009C3322" w:rsidRDefault="00494871" w:rsidP="00494871">
      <w:pPr>
        <w:widowControl w:val="0"/>
        <w:numPr>
          <w:ilvl w:val="1"/>
          <w:numId w:val="6"/>
        </w:numPr>
        <w:ind w:left="709"/>
        <w:jc w:val="both"/>
        <w:rPr>
          <w:rFonts w:asciiTheme="majorHAnsi" w:hAnsiTheme="majorHAnsi" w:cstheme="majorHAnsi"/>
          <w:sz w:val="22"/>
          <w:szCs w:val="22"/>
        </w:rPr>
      </w:pPr>
      <w:r w:rsidRPr="009C3322">
        <w:rPr>
          <w:rFonts w:asciiTheme="majorHAnsi" w:eastAsia="Calibri" w:hAnsiTheme="majorHAnsi" w:cstheme="majorHAnsi"/>
          <w:sz w:val="22"/>
          <w:szCs w:val="22"/>
        </w:rPr>
        <w:t>Gastos por personal administrativo. Gastos administrativos en general.</w:t>
      </w:r>
    </w:p>
    <w:p w14:paraId="7C243B85" w14:textId="77777777" w:rsidR="00494871" w:rsidRPr="009C3322" w:rsidRDefault="00494871" w:rsidP="00494871">
      <w:pPr>
        <w:widowControl w:val="0"/>
        <w:numPr>
          <w:ilvl w:val="1"/>
          <w:numId w:val="6"/>
        </w:numPr>
        <w:ind w:left="709"/>
        <w:jc w:val="both"/>
        <w:rPr>
          <w:rFonts w:asciiTheme="majorHAnsi" w:hAnsiTheme="majorHAnsi" w:cstheme="majorHAnsi"/>
          <w:sz w:val="22"/>
          <w:szCs w:val="22"/>
        </w:rPr>
      </w:pPr>
      <w:r w:rsidRPr="009C3322">
        <w:rPr>
          <w:rFonts w:asciiTheme="majorHAnsi" w:eastAsia="Calibri" w:hAnsiTheme="majorHAnsi" w:cstheme="majorHAnsi"/>
          <w:sz w:val="22"/>
          <w:szCs w:val="22"/>
        </w:rPr>
        <w:t>Gastos fijos (luz, agua, telefonía fija y celular, internet).</w:t>
      </w:r>
    </w:p>
    <w:p w14:paraId="150C6670" w14:textId="77777777" w:rsidR="00494871" w:rsidRPr="009C3322" w:rsidRDefault="00494871" w:rsidP="00494871">
      <w:pPr>
        <w:widowControl w:val="0"/>
        <w:numPr>
          <w:ilvl w:val="1"/>
          <w:numId w:val="6"/>
        </w:numPr>
        <w:ind w:left="709"/>
        <w:jc w:val="both"/>
        <w:rPr>
          <w:rFonts w:asciiTheme="majorHAnsi" w:hAnsiTheme="majorHAnsi" w:cstheme="majorHAnsi"/>
          <w:sz w:val="22"/>
          <w:szCs w:val="22"/>
        </w:rPr>
      </w:pPr>
      <w:r w:rsidRPr="009C3322">
        <w:rPr>
          <w:rFonts w:asciiTheme="majorHAnsi" w:eastAsia="Calibri" w:hAnsiTheme="majorHAnsi" w:cstheme="majorHAnsi"/>
          <w:sz w:val="22"/>
          <w:szCs w:val="22"/>
        </w:rPr>
        <w:t>Gastos financieros (mantenimiento de cuenta corriente y otros gastos financieros).</w:t>
      </w:r>
    </w:p>
    <w:p w14:paraId="17C299C0" w14:textId="77777777" w:rsidR="00494871" w:rsidRPr="009C3322" w:rsidRDefault="00494871" w:rsidP="00494871">
      <w:pPr>
        <w:widowControl w:val="0"/>
        <w:numPr>
          <w:ilvl w:val="1"/>
          <w:numId w:val="6"/>
        </w:numPr>
        <w:ind w:left="709"/>
        <w:jc w:val="both"/>
        <w:rPr>
          <w:rFonts w:asciiTheme="majorHAnsi" w:hAnsiTheme="majorHAnsi" w:cstheme="majorHAnsi"/>
          <w:sz w:val="22"/>
          <w:szCs w:val="22"/>
        </w:rPr>
      </w:pPr>
      <w:r w:rsidRPr="009C3322">
        <w:rPr>
          <w:rFonts w:asciiTheme="majorHAnsi" w:eastAsia="Calibri" w:hAnsiTheme="majorHAnsi" w:cstheme="majorHAnsi"/>
          <w:sz w:val="22"/>
          <w:szCs w:val="22"/>
        </w:rPr>
        <w:t>Adquisición y/o alquiler de equipos, bienes duraderos e insumos no vinculados con la naturaleza y ejecución del proyecto.</w:t>
      </w:r>
    </w:p>
    <w:p w14:paraId="1F912408" w14:textId="77777777" w:rsidR="00494871" w:rsidRPr="009C3322" w:rsidRDefault="00494871" w:rsidP="00494871">
      <w:pPr>
        <w:widowControl w:val="0"/>
        <w:numPr>
          <w:ilvl w:val="1"/>
          <w:numId w:val="6"/>
        </w:numPr>
        <w:ind w:left="709"/>
        <w:jc w:val="both"/>
        <w:rPr>
          <w:rFonts w:asciiTheme="majorHAnsi" w:hAnsiTheme="majorHAnsi" w:cstheme="majorHAnsi"/>
          <w:sz w:val="22"/>
          <w:szCs w:val="22"/>
        </w:rPr>
      </w:pPr>
      <w:r w:rsidRPr="009C3322">
        <w:rPr>
          <w:rFonts w:asciiTheme="majorHAnsi" w:eastAsia="Calibri" w:hAnsiTheme="majorHAnsi" w:cstheme="majorHAnsi"/>
          <w:sz w:val="22"/>
          <w:szCs w:val="22"/>
        </w:rPr>
        <w:t>Adquisición y/o alquiler de inmuebles y vehículos.</w:t>
      </w:r>
    </w:p>
    <w:p w14:paraId="1E20131C" w14:textId="77777777" w:rsidR="00494871" w:rsidRPr="009C3322" w:rsidRDefault="00494871" w:rsidP="00494871">
      <w:pPr>
        <w:widowControl w:val="0"/>
        <w:numPr>
          <w:ilvl w:val="1"/>
          <w:numId w:val="6"/>
        </w:numPr>
        <w:ind w:left="709"/>
        <w:jc w:val="both"/>
        <w:rPr>
          <w:rFonts w:asciiTheme="majorHAnsi" w:hAnsiTheme="majorHAnsi" w:cstheme="majorHAnsi"/>
          <w:sz w:val="22"/>
          <w:szCs w:val="22"/>
        </w:rPr>
      </w:pPr>
      <w:r w:rsidRPr="009C3322">
        <w:rPr>
          <w:rFonts w:asciiTheme="majorHAnsi" w:eastAsia="Calibri" w:hAnsiTheme="majorHAnsi" w:cstheme="majorHAnsi"/>
          <w:sz w:val="22"/>
          <w:szCs w:val="22"/>
        </w:rPr>
        <w:t>Adquisición de bienes usados.</w:t>
      </w:r>
    </w:p>
    <w:p w14:paraId="4F89E898" w14:textId="77777777" w:rsidR="00494871" w:rsidRPr="009C3322" w:rsidRDefault="00494871" w:rsidP="00494871">
      <w:pPr>
        <w:widowControl w:val="0"/>
        <w:numPr>
          <w:ilvl w:val="1"/>
          <w:numId w:val="6"/>
        </w:numPr>
        <w:ind w:left="709"/>
        <w:jc w:val="both"/>
        <w:rPr>
          <w:rFonts w:asciiTheme="majorHAnsi" w:hAnsiTheme="majorHAnsi" w:cstheme="majorHAnsi"/>
          <w:sz w:val="22"/>
          <w:szCs w:val="22"/>
        </w:rPr>
      </w:pPr>
      <w:r w:rsidRPr="009C3322">
        <w:rPr>
          <w:rFonts w:asciiTheme="majorHAnsi" w:eastAsia="Calibri" w:hAnsiTheme="majorHAnsi" w:cstheme="majorHAnsi"/>
          <w:sz w:val="22"/>
          <w:szCs w:val="22"/>
        </w:rPr>
        <w:t>Financiamiento de deuda.</w:t>
      </w:r>
    </w:p>
    <w:p w14:paraId="78ACFDBC" w14:textId="77777777" w:rsidR="00494871" w:rsidRPr="009C3322" w:rsidRDefault="00494871" w:rsidP="00494871">
      <w:pPr>
        <w:widowControl w:val="0"/>
        <w:numPr>
          <w:ilvl w:val="1"/>
          <w:numId w:val="6"/>
        </w:numPr>
        <w:ind w:left="709"/>
        <w:jc w:val="both"/>
        <w:rPr>
          <w:rFonts w:asciiTheme="majorHAnsi" w:hAnsiTheme="majorHAnsi" w:cstheme="majorHAnsi"/>
          <w:sz w:val="22"/>
          <w:szCs w:val="22"/>
        </w:rPr>
      </w:pPr>
      <w:r w:rsidRPr="009C3322">
        <w:rPr>
          <w:rFonts w:asciiTheme="majorHAnsi" w:eastAsia="Calibri" w:hAnsiTheme="majorHAnsi" w:cstheme="majorHAnsi"/>
          <w:sz w:val="22"/>
          <w:szCs w:val="22"/>
        </w:rPr>
        <w:t>Compra de acciones.</w:t>
      </w:r>
    </w:p>
    <w:p w14:paraId="1F8F126E" w14:textId="77777777" w:rsidR="00494871" w:rsidRPr="009C3322" w:rsidRDefault="00494871" w:rsidP="00494871">
      <w:pPr>
        <w:widowControl w:val="0"/>
        <w:numPr>
          <w:ilvl w:val="1"/>
          <w:numId w:val="6"/>
        </w:numPr>
        <w:ind w:left="709"/>
        <w:jc w:val="both"/>
        <w:rPr>
          <w:rFonts w:asciiTheme="majorHAnsi" w:hAnsiTheme="majorHAnsi" w:cstheme="majorHAnsi"/>
          <w:sz w:val="22"/>
          <w:szCs w:val="22"/>
        </w:rPr>
      </w:pPr>
      <w:r w:rsidRPr="009C3322">
        <w:rPr>
          <w:rFonts w:asciiTheme="majorHAnsi" w:eastAsia="Calibri" w:hAnsiTheme="majorHAnsi" w:cstheme="majorHAnsi"/>
          <w:sz w:val="22"/>
          <w:szCs w:val="22"/>
        </w:rPr>
        <w:t>Tecnologías y equipamiento que tengan impacto negativo en el medio ambiente.</w:t>
      </w:r>
    </w:p>
    <w:p w14:paraId="4EC2C6A0" w14:textId="77777777" w:rsidR="00494871" w:rsidRPr="009C3322" w:rsidRDefault="00494871" w:rsidP="00494871">
      <w:pPr>
        <w:widowControl w:val="0"/>
        <w:numPr>
          <w:ilvl w:val="1"/>
          <w:numId w:val="6"/>
        </w:numPr>
        <w:ind w:left="709"/>
        <w:jc w:val="both"/>
        <w:rPr>
          <w:rFonts w:asciiTheme="majorHAnsi" w:hAnsiTheme="majorHAnsi" w:cstheme="majorHAnsi"/>
          <w:sz w:val="22"/>
          <w:szCs w:val="22"/>
        </w:rPr>
      </w:pPr>
      <w:r w:rsidRPr="009C3322">
        <w:rPr>
          <w:rFonts w:asciiTheme="majorHAnsi" w:eastAsia="Calibri" w:hAnsiTheme="majorHAnsi" w:cstheme="majorHAnsi"/>
          <w:sz w:val="22"/>
          <w:szCs w:val="22"/>
        </w:rPr>
        <w:t>Obras de infraestructura no asociadas al proyecto y compra de terrenos.</w:t>
      </w:r>
    </w:p>
    <w:p w14:paraId="214AB89A" w14:textId="77777777" w:rsidR="00494871" w:rsidRPr="009C3322" w:rsidRDefault="00494871" w:rsidP="00494871">
      <w:pPr>
        <w:widowControl w:val="0"/>
        <w:numPr>
          <w:ilvl w:val="1"/>
          <w:numId w:val="6"/>
        </w:numPr>
        <w:ind w:left="709"/>
        <w:jc w:val="both"/>
        <w:rPr>
          <w:rFonts w:asciiTheme="majorHAnsi" w:hAnsiTheme="majorHAnsi" w:cstheme="majorHAnsi"/>
          <w:sz w:val="22"/>
          <w:szCs w:val="22"/>
        </w:rPr>
      </w:pPr>
      <w:r w:rsidRPr="009C3322">
        <w:rPr>
          <w:rFonts w:asciiTheme="majorHAnsi" w:eastAsia="Calibri" w:hAnsiTheme="majorHAnsi" w:cstheme="majorHAnsi"/>
          <w:sz w:val="22"/>
          <w:szCs w:val="22"/>
        </w:rPr>
        <w:t>Arrendamiento de locales para oficinas administrativas y alquiler de equipos de oficina.</w:t>
      </w:r>
    </w:p>
    <w:p w14:paraId="4A98A291" w14:textId="77777777" w:rsidR="00494871" w:rsidRPr="009C3322" w:rsidRDefault="00494871" w:rsidP="00494871">
      <w:pPr>
        <w:widowControl w:val="0"/>
        <w:numPr>
          <w:ilvl w:val="1"/>
          <w:numId w:val="6"/>
        </w:numPr>
        <w:ind w:left="709"/>
        <w:jc w:val="both"/>
        <w:rPr>
          <w:rFonts w:asciiTheme="majorHAnsi" w:hAnsiTheme="majorHAnsi" w:cstheme="majorHAnsi"/>
          <w:sz w:val="22"/>
          <w:szCs w:val="22"/>
        </w:rPr>
      </w:pPr>
      <w:r w:rsidRPr="009C3322">
        <w:rPr>
          <w:rFonts w:asciiTheme="majorHAnsi" w:eastAsia="Calibri" w:hAnsiTheme="majorHAnsi" w:cstheme="majorHAnsi"/>
          <w:sz w:val="22"/>
          <w:szCs w:val="22"/>
        </w:rPr>
        <w:t>Iniciativas relacionadas con armas, juegos de azar, actividades ilegales, prohibidas o innecesarias para el logro de los resultados del proyecto.</w:t>
      </w:r>
    </w:p>
    <w:p w14:paraId="5CA17E79" w14:textId="77777777" w:rsidR="00494871" w:rsidRPr="009C3322" w:rsidRDefault="00494871" w:rsidP="00494871">
      <w:pPr>
        <w:widowControl w:val="0"/>
        <w:numPr>
          <w:ilvl w:val="1"/>
          <w:numId w:val="6"/>
        </w:numPr>
        <w:ind w:left="709"/>
        <w:jc w:val="both"/>
        <w:rPr>
          <w:rFonts w:asciiTheme="majorHAnsi" w:hAnsiTheme="majorHAnsi" w:cstheme="majorHAnsi"/>
          <w:sz w:val="22"/>
          <w:szCs w:val="22"/>
        </w:rPr>
      </w:pPr>
      <w:r w:rsidRPr="009C3322">
        <w:rPr>
          <w:rFonts w:asciiTheme="majorHAnsi" w:eastAsia="Calibri" w:hAnsiTheme="majorHAnsi" w:cstheme="majorHAnsi"/>
          <w:sz w:val="22"/>
          <w:szCs w:val="22"/>
        </w:rPr>
        <w:t>Las adquisiciones de bienes, servicios o consultorías en los cuales los miembros del Equipo Emprendedor sean accionistas o Gerentes.</w:t>
      </w:r>
    </w:p>
    <w:p w14:paraId="3A7DD414" w14:textId="77777777" w:rsidR="00494871" w:rsidRPr="009C3322" w:rsidRDefault="00494871" w:rsidP="00494871">
      <w:pPr>
        <w:widowControl w:val="0"/>
        <w:numPr>
          <w:ilvl w:val="1"/>
          <w:numId w:val="6"/>
        </w:numPr>
        <w:tabs>
          <w:tab w:val="left" w:pos="222"/>
        </w:tabs>
        <w:ind w:left="709"/>
        <w:jc w:val="both"/>
        <w:rPr>
          <w:rFonts w:asciiTheme="majorHAnsi" w:hAnsiTheme="majorHAnsi" w:cstheme="majorHAnsi"/>
          <w:sz w:val="22"/>
          <w:szCs w:val="22"/>
        </w:rPr>
      </w:pPr>
      <w:r w:rsidRPr="009C3322">
        <w:rPr>
          <w:rFonts w:asciiTheme="majorHAnsi" w:eastAsia="Calibri" w:hAnsiTheme="majorHAnsi" w:cstheme="majorHAnsi"/>
          <w:sz w:val="22"/>
          <w:szCs w:val="22"/>
        </w:rPr>
        <w:t xml:space="preserve">Gastos de transporte local y peajes, como servicios de taxi o </w:t>
      </w:r>
      <w:proofErr w:type="spellStart"/>
      <w:r w:rsidRPr="009C3322">
        <w:rPr>
          <w:rFonts w:asciiTheme="majorHAnsi" w:eastAsia="Calibri" w:hAnsiTheme="majorHAnsi" w:cstheme="majorHAnsi"/>
          <w:sz w:val="22"/>
          <w:szCs w:val="22"/>
        </w:rPr>
        <w:t>delivery</w:t>
      </w:r>
      <w:proofErr w:type="spellEnd"/>
      <w:r w:rsidRPr="009C3322">
        <w:rPr>
          <w:rFonts w:asciiTheme="majorHAnsi" w:eastAsia="Calibri" w:hAnsiTheme="majorHAnsi" w:cstheme="majorHAnsi"/>
          <w:sz w:val="22"/>
          <w:szCs w:val="22"/>
        </w:rPr>
        <w:t xml:space="preserve">. </w:t>
      </w:r>
    </w:p>
    <w:p w14:paraId="083DE13B" w14:textId="77777777" w:rsidR="00494871" w:rsidRPr="009C3322" w:rsidRDefault="00494871" w:rsidP="00494871">
      <w:pPr>
        <w:widowControl w:val="0"/>
        <w:numPr>
          <w:ilvl w:val="1"/>
          <w:numId w:val="6"/>
        </w:numPr>
        <w:tabs>
          <w:tab w:val="left" w:pos="222"/>
        </w:tabs>
        <w:ind w:left="709"/>
        <w:jc w:val="both"/>
        <w:rPr>
          <w:rFonts w:asciiTheme="majorHAnsi" w:hAnsiTheme="majorHAnsi" w:cstheme="majorHAnsi"/>
          <w:sz w:val="22"/>
          <w:szCs w:val="22"/>
        </w:rPr>
      </w:pPr>
      <w:r w:rsidRPr="009C3322">
        <w:rPr>
          <w:rFonts w:asciiTheme="majorHAnsi" w:eastAsia="Calibri" w:hAnsiTheme="majorHAnsi" w:cstheme="majorHAnsi"/>
          <w:sz w:val="22"/>
          <w:szCs w:val="22"/>
        </w:rPr>
        <w:t>Seguros de cualquier tipo.</w:t>
      </w:r>
    </w:p>
    <w:p w14:paraId="48F63F5E" w14:textId="77777777" w:rsidR="00494871" w:rsidRPr="009C3322" w:rsidRDefault="00494871" w:rsidP="00494871">
      <w:pPr>
        <w:widowControl w:val="0"/>
        <w:numPr>
          <w:ilvl w:val="1"/>
          <w:numId w:val="6"/>
        </w:numPr>
        <w:tabs>
          <w:tab w:val="left" w:pos="222"/>
        </w:tabs>
        <w:ind w:left="709"/>
        <w:jc w:val="both"/>
        <w:rPr>
          <w:rFonts w:asciiTheme="majorHAnsi" w:hAnsiTheme="majorHAnsi" w:cstheme="majorHAnsi"/>
          <w:sz w:val="22"/>
          <w:szCs w:val="22"/>
        </w:rPr>
      </w:pPr>
      <w:r w:rsidRPr="009C3322">
        <w:rPr>
          <w:rFonts w:asciiTheme="majorHAnsi" w:eastAsia="Calibri" w:hAnsiTheme="majorHAnsi" w:cstheme="majorHAnsi"/>
          <w:sz w:val="22"/>
          <w:szCs w:val="22"/>
        </w:rPr>
        <w:t>Ningún tipo de impuesto a la renta, lo asume la Entidad ejecutora fuera del proyecto.</w:t>
      </w:r>
      <w:r w:rsidRPr="009C3322">
        <w:rPr>
          <w:rFonts w:asciiTheme="majorHAnsi" w:hAnsiTheme="majorHAnsi" w:cstheme="majorHAnsi"/>
          <w:sz w:val="22"/>
          <w:szCs w:val="22"/>
        </w:rPr>
        <w:br w:type="page"/>
      </w:r>
    </w:p>
    <w:p w14:paraId="29E9D610" w14:textId="77777777" w:rsidR="00494871" w:rsidRPr="00494871" w:rsidRDefault="00494871" w:rsidP="00494871">
      <w:pPr>
        <w:pStyle w:val="Ttulo1"/>
        <w:spacing w:before="0" w:after="0"/>
        <w:jc w:val="center"/>
        <w:rPr>
          <w:rStyle w:val="Ttulodellibro"/>
          <w:rFonts w:asciiTheme="majorHAnsi" w:eastAsia="Calibri" w:hAnsiTheme="majorHAnsi" w:cstheme="majorHAnsi"/>
          <w:b/>
          <w:bCs w:val="0"/>
          <w:i w:val="0"/>
          <w:iCs w:val="0"/>
          <w:sz w:val="22"/>
          <w:szCs w:val="22"/>
        </w:rPr>
      </w:pPr>
      <w:bookmarkStart w:id="5" w:name="_Anexo_3:_Directrices"/>
      <w:bookmarkStart w:id="6" w:name="_Toc144981594"/>
      <w:bookmarkEnd w:id="5"/>
      <w:r w:rsidRPr="00494871">
        <w:rPr>
          <w:rStyle w:val="Ttulodellibro"/>
          <w:rFonts w:asciiTheme="majorHAnsi" w:eastAsia="Calibri" w:hAnsiTheme="majorHAnsi" w:cstheme="majorHAnsi"/>
          <w:b/>
          <w:bCs w:val="0"/>
          <w:i w:val="0"/>
          <w:iCs w:val="0"/>
          <w:sz w:val="22"/>
          <w:szCs w:val="22"/>
        </w:rPr>
        <w:lastRenderedPageBreak/>
        <w:t>Anexo 3: Directrices para la firma del contrato de adjudicación de RNR</w:t>
      </w:r>
      <w:bookmarkEnd w:id="6"/>
    </w:p>
    <w:p w14:paraId="0AC5E049" w14:textId="77777777" w:rsidR="00494871" w:rsidRPr="009C3322" w:rsidRDefault="00494871" w:rsidP="00494871">
      <w:pPr>
        <w:widowControl w:val="0"/>
        <w:pBdr>
          <w:top w:val="nil"/>
          <w:left w:val="nil"/>
          <w:bottom w:val="nil"/>
          <w:right w:val="nil"/>
          <w:between w:val="nil"/>
        </w:pBdr>
        <w:ind w:left="644"/>
        <w:jc w:val="both"/>
        <w:rPr>
          <w:rFonts w:asciiTheme="majorHAnsi" w:eastAsia="Calibri" w:hAnsiTheme="majorHAnsi" w:cstheme="majorHAnsi"/>
          <w:sz w:val="22"/>
          <w:szCs w:val="22"/>
        </w:rPr>
      </w:pPr>
    </w:p>
    <w:p w14:paraId="6439F409" w14:textId="77777777" w:rsidR="00494871" w:rsidRPr="009C3322" w:rsidRDefault="00494871" w:rsidP="00494871">
      <w:pPr>
        <w:widowControl w:val="0"/>
        <w:numPr>
          <w:ilvl w:val="0"/>
          <w:numId w:val="8"/>
        </w:numPr>
        <w:pBdr>
          <w:top w:val="nil"/>
          <w:left w:val="nil"/>
          <w:bottom w:val="nil"/>
          <w:right w:val="nil"/>
          <w:between w:val="nil"/>
        </w:pBdr>
        <w:ind w:left="0" w:firstLine="0"/>
        <w:jc w:val="both"/>
        <w:rPr>
          <w:rFonts w:asciiTheme="majorHAnsi" w:eastAsia="Calibri" w:hAnsiTheme="majorHAnsi" w:cstheme="majorHAnsi"/>
          <w:sz w:val="22"/>
          <w:szCs w:val="22"/>
        </w:rPr>
      </w:pPr>
      <w:r w:rsidRPr="009C3322">
        <w:rPr>
          <w:rFonts w:asciiTheme="majorHAnsi" w:eastAsia="Calibri" w:hAnsiTheme="majorHAnsi" w:cstheme="majorHAnsi"/>
          <w:b/>
          <w:bCs/>
          <w:sz w:val="22"/>
          <w:szCs w:val="22"/>
        </w:rPr>
        <w:t>Asignación de Incubadora o Aceleradora para el acompañamiento del proyecto</w:t>
      </w:r>
      <w:r w:rsidRPr="009C3322">
        <w:rPr>
          <w:rFonts w:asciiTheme="majorHAnsi" w:eastAsia="Calibri" w:hAnsiTheme="majorHAnsi" w:cstheme="majorHAnsi"/>
          <w:sz w:val="22"/>
          <w:szCs w:val="22"/>
        </w:rPr>
        <w:t>: Antes de firmar el contrato, los Equipos Emprendedores que hayan postulado sin el respaldo de una Incubadora o Aceleradora serán asignados por mutuo acuerdo a una Incubadora o Aceleradora financiada por ProInnóvate que brindará al proyecto servicios administrativos y servicios de incubación y/o aceleración según el convenio firmado entre ProInnóvate y la Incubadora/aceleradora. Ningún Equipo Emprendedor recibirá financiamiento si no cuenta con una Incubadora o Aceleradora, o si no acepta las condiciones de financiamiento establecidas en las presentes Bases y en el Manual Operativo de Proyecto. En caso el equipo postule respaldado por una incubadora o aceleradora financiada por ProInnóvate, será esa incubadora o aceleradora quien realizará el acompañamiento del proyecto.</w:t>
      </w:r>
    </w:p>
    <w:p w14:paraId="1E53DADB" w14:textId="77777777" w:rsidR="00494871" w:rsidRPr="009C3322" w:rsidRDefault="00494871" w:rsidP="00494871">
      <w:pPr>
        <w:widowControl w:val="0"/>
        <w:pBdr>
          <w:top w:val="nil"/>
          <w:left w:val="nil"/>
          <w:bottom w:val="nil"/>
          <w:right w:val="nil"/>
          <w:between w:val="nil"/>
        </w:pBdr>
        <w:jc w:val="both"/>
        <w:rPr>
          <w:rFonts w:asciiTheme="majorHAnsi" w:eastAsia="Calibri" w:hAnsiTheme="majorHAnsi" w:cstheme="majorHAnsi"/>
          <w:sz w:val="22"/>
          <w:szCs w:val="22"/>
        </w:rPr>
      </w:pPr>
    </w:p>
    <w:p w14:paraId="11FFD861" w14:textId="77777777" w:rsidR="00494871" w:rsidRPr="009C3322" w:rsidRDefault="00494871" w:rsidP="00494871">
      <w:pPr>
        <w:widowControl w:val="0"/>
        <w:numPr>
          <w:ilvl w:val="0"/>
          <w:numId w:val="8"/>
        </w:numPr>
        <w:pBdr>
          <w:top w:val="nil"/>
          <w:left w:val="nil"/>
          <w:bottom w:val="nil"/>
          <w:right w:val="nil"/>
          <w:between w:val="nil"/>
        </w:pBdr>
        <w:ind w:left="0" w:firstLine="0"/>
        <w:jc w:val="both"/>
        <w:rPr>
          <w:rFonts w:asciiTheme="majorHAnsi" w:eastAsia="Calibri" w:hAnsiTheme="majorHAnsi" w:cstheme="majorHAnsi"/>
          <w:sz w:val="22"/>
          <w:szCs w:val="22"/>
        </w:rPr>
      </w:pPr>
      <w:r w:rsidRPr="009C3322">
        <w:rPr>
          <w:rFonts w:asciiTheme="majorHAnsi" w:eastAsia="Calibri" w:hAnsiTheme="majorHAnsi" w:cstheme="majorHAnsi"/>
          <w:sz w:val="22"/>
          <w:szCs w:val="22"/>
        </w:rPr>
        <w:t>ProInnóvate suscribirá un Contrato de Adjudicación de Recursos No Reembolsables (RNR) con el equipo emprendedor o con la persona jurídica beneficiaria, en el que se establecerán las obligaciones de ambas partes y las condiciones de ejecución de los RNR de acuerdo a lo establecido en el Plan de Trabajo. El modelo de contrato se entregará al equipo en caso se apruebe su proyecto y se le asigne financiamiento.</w:t>
      </w:r>
    </w:p>
    <w:p w14:paraId="1F1CCC65" w14:textId="77777777" w:rsidR="00494871" w:rsidRPr="009C3322" w:rsidRDefault="00494871" w:rsidP="00494871">
      <w:pPr>
        <w:pStyle w:val="Prrafodelista"/>
        <w:rPr>
          <w:rFonts w:asciiTheme="majorHAnsi" w:eastAsia="Calibri" w:hAnsiTheme="majorHAnsi" w:cstheme="majorHAnsi"/>
          <w:sz w:val="22"/>
          <w:szCs w:val="22"/>
        </w:rPr>
      </w:pPr>
    </w:p>
    <w:p w14:paraId="2ED9F949" w14:textId="77777777" w:rsidR="00494871" w:rsidRPr="009C3322" w:rsidRDefault="00494871" w:rsidP="00494871">
      <w:pPr>
        <w:widowControl w:val="0"/>
        <w:numPr>
          <w:ilvl w:val="0"/>
          <w:numId w:val="8"/>
        </w:numPr>
        <w:pBdr>
          <w:top w:val="nil"/>
          <w:left w:val="nil"/>
          <w:bottom w:val="nil"/>
          <w:right w:val="nil"/>
          <w:between w:val="nil"/>
        </w:pBdr>
        <w:ind w:left="0" w:firstLine="0"/>
        <w:jc w:val="both"/>
        <w:rPr>
          <w:rFonts w:asciiTheme="majorHAnsi" w:eastAsia="Calibri" w:hAnsiTheme="majorHAnsi" w:cstheme="majorHAnsi"/>
          <w:sz w:val="22"/>
          <w:szCs w:val="22"/>
        </w:rPr>
      </w:pPr>
      <w:r w:rsidRPr="009C3322">
        <w:rPr>
          <w:rFonts w:asciiTheme="majorHAnsi" w:eastAsia="Calibri" w:hAnsiTheme="majorHAnsi" w:cstheme="majorHAnsi"/>
          <w:sz w:val="22"/>
          <w:szCs w:val="22"/>
        </w:rPr>
        <w:t>ProInnóvate dejará sin efecto la adjudicación en caso el equipo emprendedor o la persona jurídica beneficiaria registre otro Convenio de Adjudicación de RNR en ejecución con ProInnóvate, de acuerdo con lo indicado en el numeral 13 de las bases.</w:t>
      </w:r>
    </w:p>
    <w:p w14:paraId="7B3D4101" w14:textId="77777777" w:rsidR="00494871" w:rsidRPr="009C3322" w:rsidRDefault="00494871" w:rsidP="00494871">
      <w:pPr>
        <w:widowControl w:val="0"/>
        <w:pBdr>
          <w:top w:val="nil"/>
          <w:left w:val="nil"/>
          <w:bottom w:val="nil"/>
          <w:right w:val="nil"/>
          <w:between w:val="nil"/>
        </w:pBdr>
        <w:jc w:val="both"/>
        <w:rPr>
          <w:rFonts w:asciiTheme="majorHAnsi" w:eastAsia="Calibri" w:hAnsiTheme="majorHAnsi" w:cstheme="majorHAnsi"/>
          <w:sz w:val="22"/>
          <w:szCs w:val="22"/>
        </w:rPr>
      </w:pPr>
    </w:p>
    <w:p w14:paraId="77F3BB3F" w14:textId="77777777" w:rsidR="00494871" w:rsidRPr="009C3322" w:rsidRDefault="00494871" w:rsidP="00494871">
      <w:pPr>
        <w:widowControl w:val="0"/>
        <w:numPr>
          <w:ilvl w:val="0"/>
          <w:numId w:val="8"/>
        </w:numPr>
        <w:pBdr>
          <w:top w:val="nil"/>
          <w:left w:val="nil"/>
          <w:bottom w:val="nil"/>
          <w:right w:val="nil"/>
          <w:between w:val="nil"/>
        </w:pBdr>
        <w:ind w:left="0" w:firstLine="0"/>
        <w:jc w:val="both"/>
        <w:rPr>
          <w:rFonts w:asciiTheme="majorHAnsi" w:eastAsia="Calibri" w:hAnsiTheme="majorHAnsi" w:cstheme="majorHAnsi"/>
          <w:sz w:val="22"/>
          <w:szCs w:val="22"/>
        </w:rPr>
      </w:pPr>
      <w:r w:rsidRPr="009C3322">
        <w:rPr>
          <w:rFonts w:asciiTheme="majorHAnsi" w:eastAsia="Calibri" w:hAnsiTheme="majorHAnsi" w:cstheme="majorHAnsi"/>
          <w:b/>
          <w:bCs/>
          <w:sz w:val="22"/>
          <w:szCs w:val="22"/>
        </w:rPr>
        <w:t>Reunión previa:</w:t>
      </w:r>
      <w:r w:rsidRPr="009C3322">
        <w:rPr>
          <w:rFonts w:asciiTheme="majorHAnsi" w:eastAsia="Calibri" w:hAnsiTheme="majorHAnsi" w:cstheme="majorHAnsi"/>
          <w:sz w:val="22"/>
          <w:szCs w:val="22"/>
        </w:rPr>
        <w:t xml:space="preserve"> Antes de firmar el contrato, el Equipo Emprendedor y el Ejecutivo de Proyecto asignado por ProInnóvate deberán realizar los ajustes necesarios a la propuesta, estableciendo el Plan de Trabajo con hitos y condiciones a cumplir para los desembolsos. La reunión previa tiene carácter de obligatoria para dar inicio al proyecto, ya que deberá realizarse indefectiblemente para que el Equipo Emprendedor pueda recibir el desembolso del fondo.</w:t>
      </w:r>
    </w:p>
    <w:p w14:paraId="5C6351B4" w14:textId="77777777" w:rsidR="00494871" w:rsidRPr="009C3322" w:rsidRDefault="00494871" w:rsidP="00494871">
      <w:pPr>
        <w:widowControl w:val="0"/>
        <w:jc w:val="both"/>
        <w:rPr>
          <w:rFonts w:asciiTheme="majorHAnsi" w:eastAsia="Calibri" w:hAnsiTheme="majorHAnsi" w:cstheme="majorHAnsi"/>
          <w:sz w:val="22"/>
          <w:szCs w:val="22"/>
        </w:rPr>
      </w:pPr>
    </w:p>
    <w:p w14:paraId="69423CEE" w14:textId="77777777" w:rsidR="00494871" w:rsidRPr="009C3322" w:rsidRDefault="00494871" w:rsidP="00494871">
      <w:pPr>
        <w:widowControl w:val="0"/>
        <w:numPr>
          <w:ilvl w:val="0"/>
          <w:numId w:val="8"/>
        </w:numPr>
        <w:ind w:left="0" w:firstLine="0"/>
        <w:jc w:val="both"/>
        <w:rPr>
          <w:rFonts w:asciiTheme="majorHAnsi" w:eastAsia="Calibri" w:hAnsiTheme="majorHAnsi" w:cstheme="majorHAnsi"/>
          <w:sz w:val="22"/>
          <w:szCs w:val="22"/>
        </w:rPr>
      </w:pPr>
      <w:r w:rsidRPr="009C3322">
        <w:rPr>
          <w:rFonts w:asciiTheme="majorHAnsi" w:eastAsia="Calibri" w:hAnsiTheme="majorHAnsi" w:cstheme="majorHAnsi"/>
          <w:sz w:val="22"/>
          <w:szCs w:val="22"/>
        </w:rPr>
        <w:t>En el marco de las bases del concurso, el Ejecutivo de Proyectos de ProInnóvate podrá revisar aspectos técnicos y/o financieros del proyecto y proponer mejoras al mismo durante la Reunión Previa. Para los casos que el Ejecutivo identifique cambios en el objetivo general del proyecto y/o variaciones en los Recursos No Reembolsable (RNR) superiores al 5%, estos deberán ser derivados por la Unidad de Monitoreo a la Unidad de Evaluación y Selección para que estos últimos lo presenten al Comité Técnico de Evaluación para su aprobación o desaprobación. De ser aprobados se procederá a solicitar la ratificación.</w:t>
      </w:r>
    </w:p>
    <w:p w14:paraId="2D286ECC" w14:textId="77777777" w:rsidR="00494871" w:rsidRPr="009C3322" w:rsidRDefault="00494871" w:rsidP="00494871">
      <w:pPr>
        <w:widowControl w:val="0"/>
        <w:jc w:val="both"/>
        <w:rPr>
          <w:rFonts w:asciiTheme="majorHAnsi" w:eastAsia="Calibri" w:hAnsiTheme="majorHAnsi" w:cstheme="majorHAnsi"/>
          <w:sz w:val="22"/>
          <w:szCs w:val="22"/>
        </w:rPr>
      </w:pPr>
    </w:p>
    <w:p w14:paraId="032F5703" w14:textId="77777777" w:rsidR="00494871" w:rsidRDefault="00494871" w:rsidP="00494871">
      <w:pPr>
        <w:widowControl w:val="0"/>
        <w:numPr>
          <w:ilvl w:val="0"/>
          <w:numId w:val="8"/>
        </w:numPr>
        <w:pBdr>
          <w:top w:val="nil"/>
          <w:left w:val="nil"/>
          <w:bottom w:val="nil"/>
          <w:right w:val="nil"/>
          <w:between w:val="nil"/>
        </w:pBdr>
        <w:ind w:left="0" w:firstLine="0"/>
        <w:jc w:val="both"/>
        <w:rPr>
          <w:rFonts w:asciiTheme="majorHAnsi" w:eastAsia="Calibri" w:hAnsiTheme="majorHAnsi" w:cstheme="majorHAnsi"/>
          <w:sz w:val="22"/>
          <w:szCs w:val="22"/>
        </w:rPr>
      </w:pPr>
      <w:r w:rsidRPr="009C3322">
        <w:rPr>
          <w:rFonts w:asciiTheme="majorHAnsi" w:eastAsia="Calibri" w:hAnsiTheme="majorHAnsi" w:cstheme="majorHAnsi"/>
          <w:b/>
          <w:bCs/>
          <w:sz w:val="22"/>
          <w:szCs w:val="22"/>
        </w:rPr>
        <w:t>Documentas para la firma de contrato de adjudicación:</w:t>
      </w:r>
      <w:r w:rsidRPr="009C3322">
        <w:rPr>
          <w:rFonts w:asciiTheme="majorHAnsi" w:eastAsia="Calibri" w:hAnsiTheme="majorHAnsi" w:cstheme="majorHAnsi"/>
          <w:sz w:val="22"/>
          <w:szCs w:val="22"/>
        </w:rPr>
        <w:t xml:space="preserve"> </w:t>
      </w:r>
    </w:p>
    <w:p w14:paraId="4A29CBD5" w14:textId="77777777" w:rsidR="00494871" w:rsidRPr="009C3322" w:rsidRDefault="00494871" w:rsidP="00494871">
      <w:pPr>
        <w:widowControl w:val="0"/>
        <w:pBdr>
          <w:top w:val="nil"/>
          <w:left w:val="nil"/>
          <w:bottom w:val="nil"/>
          <w:right w:val="nil"/>
          <w:between w:val="nil"/>
        </w:pBdr>
        <w:jc w:val="both"/>
        <w:rPr>
          <w:rFonts w:asciiTheme="majorHAnsi" w:eastAsia="Calibri" w:hAnsiTheme="majorHAnsi" w:cstheme="majorHAnsi"/>
          <w:sz w:val="22"/>
          <w:szCs w:val="22"/>
        </w:rPr>
      </w:pPr>
    </w:p>
    <w:p w14:paraId="407D77A2" w14:textId="77777777" w:rsidR="00494871" w:rsidRPr="009C3322" w:rsidRDefault="00494871" w:rsidP="00494871">
      <w:pPr>
        <w:widowControl w:val="0"/>
        <w:numPr>
          <w:ilvl w:val="0"/>
          <w:numId w:val="3"/>
        </w:numPr>
        <w:pBdr>
          <w:top w:val="nil"/>
          <w:left w:val="nil"/>
          <w:bottom w:val="nil"/>
          <w:right w:val="nil"/>
          <w:between w:val="nil"/>
        </w:pBdr>
        <w:ind w:left="709" w:hanging="283"/>
        <w:jc w:val="both"/>
        <w:rPr>
          <w:rFonts w:asciiTheme="majorHAnsi" w:eastAsia="Calibri" w:hAnsiTheme="majorHAnsi" w:cstheme="majorHAnsi"/>
          <w:sz w:val="22"/>
          <w:szCs w:val="22"/>
        </w:rPr>
      </w:pPr>
      <w:r w:rsidRPr="009C3322">
        <w:rPr>
          <w:rFonts w:asciiTheme="majorHAnsi" w:eastAsia="Calibri" w:hAnsiTheme="majorHAnsi" w:cstheme="majorHAnsi"/>
          <w:sz w:val="22"/>
          <w:szCs w:val="22"/>
        </w:rPr>
        <w:t>Carta con los datos de la cuenta bancaria a nombre de la persona jurídica. Esta deberá ser exclusiva del proyecto, y en donde se realizarán los desembolsos de los RNR (número de Cta., Código de Cuenta Interbancaria – CCI, nombre del Banco).</w:t>
      </w:r>
    </w:p>
    <w:p w14:paraId="286356BF" w14:textId="77777777" w:rsidR="00494871" w:rsidRPr="009C3322" w:rsidRDefault="00494871" w:rsidP="00494871">
      <w:pPr>
        <w:widowControl w:val="0"/>
        <w:numPr>
          <w:ilvl w:val="0"/>
          <w:numId w:val="3"/>
        </w:numPr>
        <w:ind w:left="709" w:hanging="283"/>
        <w:jc w:val="both"/>
        <w:rPr>
          <w:rFonts w:asciiTheme="majorHAnsi" w:eastAsia="Calibri" w:hAnsiTheme="majorHAnsi" w:cstheme="majorHAnsi"/>
          <w:sz w:val="22"/>
          <w:szCs w:val="22"/>
        </w:rPr>
      </w:pPr>
      <w:r w:rsidRPr="009C3322">
        <w:rPr>
          <w:rFonts w:asciiTheme="majorHAnsi" w:eastAsia="Calibri" w:hAnsiTheme="majorHAnsi" w:cstheme="majorHAnsi"/>
          <w:sz w:val="22"/>
          <w:szCs w:val="22"/>
        </w:rPr>
        <w:t>Vigencia de poder del representante legal</w:t>
      </w:r>
      <w:r>
        <w:rPr>
          <w:rFonts w:asciiTheme="majorHAnsi" w:eastAsia="Calibri" w:hAnsiTheme="majorHAnsi" w:cstheme="majorHAnsi"/>
          <w:sz w:val="22"/>
          <w:szCs w:val="22"/>
        </w:rPr>
        <w:t>.</w:t>
      </w:r>
    </w:p>
    <w:p w14:paraId="0603AF83" w14:textId="77777777" w:rsidR="00494871" w:rsidRPr="009C3322" w:rsidRDefault="00494871" w:rsidP="00494871">
      <w:pPr>
        <w:widowControl w:val="0"/>
        <w:numPr>
          <w:ilvl w:val="0"/>
          <w:numId w:val="3"/>
        </w:numPr>
        <w:pBdr>
          <w:top w:val="nil"/>
          <w:left w:val="nil"/>
          <w:bottom w:val="nil"/>
          <w:right w:val="nil"/>
          <w:between w:val="nil"/>
        </w:pBdr>
        <w:ind w:left="709" w:hanging="283"/>
        <w:jc w:val="both"/>
        <w:rPr>
          <w:rFonts w:asciiTheme="majorHAnsi" w:eastAsia="Calibri" w:hAnsiTheme="majorHAnsi" w:cstheme="majorHAnsi"/>
          <w:sz w:val="22"/>
          <w:szCs w:val="22"/>
        </w:rPr>
      </w:pPr>
      <w:r w:rsidRPr="009C3322">
        <w:rPr>
          <w:rFonts w:asciiTheme="majorHAnsi" w:eastAsia="Calibri" w:hAnsiTheme="majorHAnsi" w:cstheme="majorHAnsi"/>
          <w:sz w:val="22"/>
          <w:szCs w:val="22"/>
        </w:rPr>
        <w:t>Pagaré por el monto total del RNR con firma física y huella digital, visado en el reverso y el anverso, según el modelo del Formato III.</w:t>
      </w:r>
    </w:p>
    <w:p w14:paraId="5670EB10" w14:textId="77777777" w:rsidR="00494871" w:rsidRPr="009C3322" w:rsidRDefault="00494871" w:rsidP="00494871">
      <w:pPr>
        <w:widowControl w:val="0"/>
        <w:pBdr>
          <w:top w:val="nil"/>
          <w:left w:val="nil"/>
          <w:bottom w:val="nil"/>
          <w:right w:val="nil"/>
          <w:between w:val="nil"/>
        </w:pBdr>
        <w:jc w:val="both"/>
        <w:rPr>
          <w:rFonts w:asciiTheme="majorHAnsi" w:eastAsia="Calibri" w:hAnsiTheme="majorHAnsi" w:cstheme="majorHAnsi"/>
          <w:sz w:val="22"/>
          <w:szCs w:val="22"/>
        </w:rPr>
      </w:pPr>
    </w:p>
    <w:p w14:paraId="44F6A0AD" w14:textId="77777777" w:rsidR="00494871" w:rsidRPr="009C3322" w:rsidRDefault="00494871" w:rsidP="00494871">
      <w:pPr>
        <w:widowControl w:val="0"/>
        <w:numPr>
          <w:ilvl w:val="0"/>
          <w:numId w:val="8"/>
        </w:numPr>
        <w:ind w:left="0" w:firstLine="0"/>
        <w:jc w:val="both"/>
        <w:rPr>
          <w:rFonts w:asciiTheme="majorHAnsi" w:eastAsia="Calibri" w:hAnsiTheme="majorHAnsi" w:cstheme="majorHAnsi"/>
          <w:sz w:val="22"/>
          <w:szCs w:val="22"/>
          <w:lang w:val="es"/>
        </w:rPr>
      </w:pPr>
      <w:r w:rsidRPr="009C3322">
        <w:rPr>
          <w:rFonts w:asciiTheme="majorHAnsi" w:eastAsia="Calibri" w:hAnsiTheme="majorHAnsi" w:cstheme="majorHAnsi"/>
          <w:sz w:val="22"/>
          <w:szCs w:val="22"/>
          <w:lang w:val="es"/>
        </w:rPr>
        <w:t>El Contrato de Adjudicación de Recursos No Reembolsables (RNR) debe ser firmado y remitido a ProInnóvate en un plazo máximo de treinta (30) días calendario, contados a partir de su recepción.</w:t>
      </w:r>
    </w:p>
    <w:p w14:paraId="447EDAD9" w14:textId="77777777" w:rsidR="00494871" w:rsidRPr="009C3322" w:rsidRDefault="00494871" w:rsidP="00494871">
      <w:pPr>
        <w:widowControl w:val="0"/>
        <w:jc w:val="both"/>
        <w:rPr>
          <w:rFonts w:asciiTheme="majorHAnsi" w:eastAsia="Calibri" w:hAnsiTheme="majorHAnsi" w:cstheme="majorHAnsi"/>
          <w:sz w:val="22"/>
          <w:szCs w:val="22"/>
          <w:lang w:val="es"/>
        </w:rPr>
      </w:pPr>
    </w:p>
    <w:p w14:paraId="519E940B" w14:textId="77777777" w:rsidR="00494871" w:rsidRPr="009C3322" w:rsidRDefault="00494871" w:rsidP="00494871">
      <w:pPr>
        <w:widowControl w:val="0"/>
        <w:numPr>
          <w:ilvl w:val="0"/>
          <w:numId w:val="8"/>
        </w:numPr>
        <w:ind w:left="0" w:firstLine="0"/>
        <w:jc w:val="both"/>
        <w:rPr>
          <w:rFonts w:asciiTheme="majorHAnsi" w:eastAsia="Calibri" w:hAnsiTheme="majorHAnsi" w:cstheme="majorHAnsi"/>
          <w:sz w:val="22"/>
          <w:szCs w:val="22"/>
          <w:lang w:val="es"/>
        </w:rPr>
      </w:pPr>
      <w:r>
        <w:rPr>
          <w:rFonts w:asciiTheme="majorHAnsi" w:eastAsia="Calibri" w:hAnsiTheme="majorHAnsi" w:cstheme="majorHAnsi"/>
          <w:sz w:val="22"/>
          <w:szCs w:val="22"/>
          <w:lang w:val="es"/>
        </w:rPr>
        <w:t>La</w:t>
      </w:r>
      <w:r w:rsidRPr="009C3322">
        <w:rPr>
          <w:rFonts w:asciiTheme="majorHAnsi" w:eastAsia="Calibri" w:hAnsiTheme="majorHAnsi" w:cstheme="majorHAnsi"/>
          <w:sz w:val="22"/>
          <w:szCs w:val="22"/>
          <w:lang w:val="es"/>
        </w:rPr>
        <w:t xml:space="preserve"> persona jurídica beneficiaria se constituirá en la Entidad Ejecutora (EE) una vez firmado el Contrato de Adjudicación de Recursos No Reembolsables (RNR) y hasta la fecha de cierre del </w:t>
      </w:r>
      <w:r w:rsidRPr="009C3322">
        <w:rPr>
          <w:rFonts w:asciiTheme="majorHAnsi" w:eastAsia="Calibri" w:hAnsiTheme="majorHAnsi" w:cstheme="majorHAnsi"/>
          <w:sz w:val="22"/>
          <w:szCs w:val="22"/>
          <w:lang w:val="es"/>
        </w:rPr>
        <w:lastRenderedPageBreak/>
        <w:t>mismo.</w:t>
      </w:r>
    </w:p>
    <w:p w14:paraId="4BA24256" w14:textId="77777777" w:rsidR="00494871" w:rsidRPr="009C3322" w:rsidRDefault="00494871" w:rsidP="00494871">
      <w:pPr>
        <w:widowControl w:val="0"/>
        <w:jc w:val="both"/>
        <w:rPr>
          <w:rFonts w:asciiTheme="majorHAnsi" w:eastAsia="Calibri" w:hAnsiTheme="majorHAnsi" w:cstheme="majorHAnsi"/>
          <w:sz w:val="22"/>
          <w:szCs w:val="22"/>
        </w:rPr>
      </w:pPr>
    </w:p>
    <w:p w14:paraId="2AD7BD01" w14:textId="77777777" w:rsidR="00494871" w:rsidRDefault="00494871" w:rsidP="00494871">
      <w:pPr>
        <w:widowControl w:val="0"/>
        <w:numPr>
          <w:ilvl w:val="0"/>
          <w:numId w:val="8"/>
        </w:numPr>
        <w:pBdr>
          <w:top w:val="nil"/>
          <w:left w:val="nil"/>
          <w:bottom w:val="nil"/>
          <w:right w:val="nil"/>
          <w:between w:val="nil"/>
        </w:pBdr>
        <w:ind w:left="0" w:firstLine="0"/>
        <w:jc w:val="both"/>
        <w:rPr>
          <w:rFonts w:asciiTheme="majorHAnsi" w:eastAsia="Calibri" w:hAnsiTheme="majorHAnsi" w:cstheme="majorHAnsi"/>
          <w:sz w:val="22"/>
          <w:szCs w:val="22"/>
        </w:rPr>
      </w:pPr>
      <w:r w:rsidRPr="009C3322">
        <w:rPr>
          <w:rFonts w:asciiTheme="majorHAnsi" w:eastAsia="Calibri" w:hAnsiTheme="majorHAnsi" w:cstheme="majorHAnsi"/>
          <w:sz w:val="22"/>
          <w:szCs w:val="22"/>
        </w:rPr>
        <w:t xml:space="preserve">El </w:t>
      </w:r>
      <w:r w:rsidRPr="009C3322">
        <w:rPr>
          <w:rFonts w:asciiTheme="majorHAnsi" w:eastAsia="Calibri" w:hAnsiTheme="majorHAnsi" w:cstheme="majorHAnsi"/>
          <w:b/>
          <w:bCs/>
          <w:sz w:val="22"/>
          <w:szCs w:val="22"/>
        </w:rPr>
        <w:t>Contrato de Adjudicación de RNR</w:t>
      </w:r>
      <w:r w:rsidRPr="009C3322">
        <w:rPr>
          <w:rFonts w:asciiTheme="majorHAnsi" w:eastAsia="Calibri" w:hAnsiTheme="majorHAnsi" w:cstheme="majorHAnsi"/>
          <w:sz w:val="22"/>
          <w:szCs w:val="22"/>
        </w:rPr>
        <w:t xml:space="preserve"> contiene de manera referencial:</w:t>
      </w:r>
    </w:p>
    <w:p w14:paraId="317A8816" w14:textId="77777777" w:rsidR="00494871" w:rsidRPr="009C3322" w:rsidRDefault="00494871" w:rsidP="00494871">
      <w:pPr>
        <w:widowControl w:val="0"/>
        <w:pBdr>
          <w:top w:val="nil"/>
          <w:left w:val="nil"/>
          <w:bottom w:val="nil"/>
          <w:right w:val="nil"/>
          <w:between w:val="nil"/>
        </w:pBdr>
        <w:jc w:val="both"/>
        <w:rPr>
          <w:rFonts w:asciiTheme="majorHAnsi" w:eastAsia="Calibri" w:hAnsiTheme="majorHAnsi" w:cstheme="majorHAnsi"/>
          <w:sz w:val="22"/>
          <w:szCs w:val="22"/>
        </w:rPr>
      </w:pPr>
    </w:p>
    <w:p w14:paraId="44C37AB9" w14:textId="77777777" w:rsidR="00494871" w:rsidRPr="009C3322" w:rsidRDefault="00494871" w:rsidP="00494871">
      <w:pPr>
        <w:widowControl w:val="0"/>
        <w:numPr>
          <w:ilvl w:val="0"/>
          <w:numId w:val="7"/>
        </w:numPr>
        <w:jc w:val="both"/>
        <w:rPr>
          <w:rFonts w:asciiTheme="majorHAnsi" w:hAnsiTheme="majorHAnsi" w:cstheme="majorHAnsi"/>
          <w:sz w:val="22"/>
          <w:szCs w:val="22"/>
        </w:rPr>
      </w:pPr>
      <w:r w:rsidRPr="009C3322">
        <w:rPr>
          <w:rFonts w:asciiTheme="majorHAnsi" w:hAnsiTheme="majorHAnsi" w:cstheme="majorHAnsi"/>
          <w:sz w:val="22"/>
          <w:szCs w:val="22"/>
        </w:rPr>
        <w:t>Objeto del Contrato, duración y vigencia.</w:t>
      </w:r>
    </w:p>
    <w:p w14:paraId="1A47F708" w14:textId="77777777" w:rsidR="00494871" w:rsidRPr="009C3322" w:rsidRDefault="00494871" w:rsidP="00494871">
      <w:pPr>
        <w:widowControl w:val="0"/>
        <w:numPr>
          <w:ilvl w:val="0"/>
          <w:numId w:val="7"/>
        </w:numPr>
        <w:jc w:val="both"/>
        <w:rPr>
          <w:rFonts w:asciiTheme="majorHAnsi" w:hAnsiTheme="majorHAnsi" w:cstheme="majorHAnsi"/>
          <w:sz w:val="22"/>
          <w:szCs w:val="22"/>
        </w:rPr>
      </w:pPr>
      <w:r w:rsidRPr="009C3322">
        <w:rPr>
          <w:rFonts w:asciiTheme="majorHAnsi" w:hAnsiTheme="majorHAnsi" w:cstheme="majorHAnsi"/>
          <w:sz w:val="22"/>
          <w:szCs w:val="22"/>
        </w:rPr>
        <w:t>Identificación de las partes.</w:t>
      </w:r>
    </w:p>
    <w:p w14:paraId="55DCAFFE" w14:textId="77777777" w:rsidR="00494871" w:rsidRPr="009C3322" w:rsidRDefault="00494871" w:rsidP="00494871">
      <w:pPr>
        <w:widowControl w:val="0"/>
        <w:numPr>
          <w:ilvl w:val="0"/>
          <w:numId w:val="7"/>
        </w:numPr>
        <w:pBdr>
          <w:top w:val="nil"/>
          <w:left w:val="nil"/>
          <w:bottom w:val="nil"/>
          <w:right w:val="nil"/>
          <w:between w:val="nil"/>
        </w:pBdr>
        <w:jc w:val="both"/>
        <w:rPr>
          <w:rFonts w:asciiTheme="majorHAnsi" w:hAnsiTheme="majorHAnsi" w:cstheme="majorHAnsi"/>
          <w:sz w:val="22"/>
          <w:szCs w:val="22"/>
        </w:rPr>
      </w:pPr>
      <w:r w:rsidRPr="009C3322">
        <w:rPr>
          <w:rFonts w:asciiTheme="majorHAnsi" w:hAnsiTheme="majorHAnsi" w:cstheme="majorHAnsi"/>
          <w:sz w:val="22"/>
          <w:szCs w:val="22"/>
        </w:rPr>
        <w:t>Obligaciones del equipo emprendedor durante y posterior a la ejecución del proyecto.</w:t>
      </w:r>
    </w:p>
    <w:p w14:paraId="0E58850F" w14:textId="77777777" w:rsidR="00494871" w:rsidRPr="009C3322" w:rsidRDefault="00494871" w:rsidP="00494871">
      <w:pPr>
        <w:widowControl w:val="0"/>
        <w:numPr>
          <w:ilvl w:val="0"/>
          <w:numId w:val="7"/>
        </w:numPr>
        <w:jc w:val="both"/>
        <w:rPr>
          <w:rFonts w:asciiTheme="majorHAnsi" w:hAnsiTheme="majorHAnsi" w:cstheme="majorHAnsi"/>
          <w:sz w:val="22"/>
          <w:szCs w:val="22"/>
        </w:rPr>
      </w:pPr>
      <w:r w:rsidRPr="009C3322">
        <w:rPr>
          <w:rFonts w:asciiTheme="majorHAnsi" w:hAnsiTheme="majorHAnsi" w:cstheme="majorHAnsi"/>
          <w:sz w:val="22"/>
          <w:szCs w:val="22"/>
        </w:rPr>
        <w:t>Compromiso de confidencialidad</w:t>
      </w:r>
    </w:p>
    <w:p w14:paraId="74F5457F" w14:textId="77777777" w:rsidR="00494871" w:rsidRPr="009C3322" w:rsidRDefault="00494871" w:rsidP="00494871">
      <w:pPr>
        <w:widowControl w:val="0"/>
        <w:numPr>
          <w:ilvl w:val="0"/>
          <w:numId w:val="7"/>
        </w:numPr>
        <w:jc w:val="both"/>
        <w:rPr>
          <w:rFonts w:asciiTheme="majorHAnsi" w:hAnsiTheme="majorHAnsi" w:cstheme="majorHAnsi"/>
          <w:sz w:val="22"/>
          <w:szCs w:val="22"/>
        </w:rPr>
      </w:pPr>
      <w:r w:rsidRPr="009C3322">
        <w:rPr>
          <w:rFonts w:asciiTheme="majorHAnsi" w:hAnsiTheme="majorHAnsi" w:cstheme="majorHAnsi"/>
          <w:sz w:val="22"/>
          <w:szCs w:val="22"/>
        </w:rPr>
        <w:t>Derechos de propiedad intelectual</w:t>
      </w:r>
    </w:p>
    <w:p w14:paraId="00780A0F" w14:textId="77777777" w:rsidR="00494871" w:rsidRPr="009C3322" w:rsidRDefault="00494871" w:rsidP="00494871">
      <w:pPr>
        <w:widowControl w:val="0"/>
        <w:numPr>
          <w:ilvl w:val="0"/>
          <w:numId w:val="7"/>
        </w:numPr>
        <w:jc w:val="both"/>
        <w:rPr>
          <w:rFonts w:asciiTheme="majorHAnsi" w:hAnsiTheme="majorHAnsi" w:cstheme="majorHAnsi"/>
          <w:sz w:val="22"/>
          <w:szCs w:val="22"/>
        </w:rPr>
      </w:pPr>
      <w:r w:rsidRPr="009C3322">
        <w:rPr>
          <w:rFonts w:asciiTheme="majorHAnsi" w:hAnsiTheme="majorHAnsi" w:cstheme="majorHAnsi"/>
          <w:sz w:val="22"/>
          <w:szCs w:val="22"/>
        </w:rPr>
        <w:t>Domicilio actualizado de las partes</w:t>
      </w:r>
    </w:p>
    <w:p w14:paraId="18268ABD" w14:textId="77777777" w:rsidR="00494871" w:rsidRPr="009C3322" w:rsidRDefault="00494871" w:rsidP="00494871">
      <w:pPr>
        <w:widowControl w:val="0"/>
        <w:numPr>
          <w:ilvl w:val="0"/>
          <w:numId w:val="7"/>
        </w:numPr>
        <w:pBdr>
          <w:top w:val="nil"/>
          <w:left w:val="nil"/>
          <w:bottom w:val="nil"/>
          <w:right w:val="nil"/>
          <w:between w:val="nil"/>
        </w:pBdr>
        <w:jc w:val="both"/>
        <w:rPr>
          <w:rFonts w:asciiTheme="majorHAnsi" w:hAnsiTheme="majorHAnsi" w:cstheme="majorHAnsi"/>
          <w:sz w:val="22"/>
          <w:szCs w:val="22"/>
        </w:rPr>
      </w:pPr>
      <w:r w:rsidRPr="009C3322">
        <w:rPr>
          <w:rFonts w:asciiTheme="majorHAnsi" w:eastAsia="Calibri" w:hAnsiTheme="majorHAnsi" w:cstheme="majorHAnsi"/>
          <w:sz w:val="22"/>
          <w:szCs w:val="22"/>
        </w:rPr>
        <w:t xml:space="preserve">Proporcionar de manera semestral, durante cinco años la información necesaria para la medición y comunicación de resultados del proyecto. </w:t>
      </w:r>
    </w:p>
    <w:p w14:paraId="19A52B5D" w14:textId="77777777" w:rsidR="00494871" w:rsidRPr="009C3322" w:rsidRDefault="00494871" w:rsidP="00494871">
      <w:pPr>
        <w:widowControl w:val="0"/>
        <w:numPr>
          <w:ilvl w:val="0"/>
          <w:numId w:val="7"/>
        </w:numPr>
        <w:pBdr>
          <w:top w:val="nil"/>
          <w:left w:val="nil"/>
          <w:bottom w:val="nil"/>
          <w:right w:val="nil"/>
          <w:between w:val="nil"/>
        </w:pBdr>
        <w:jc w:val="both"/>
        <w:rPr>
          <w:rFonts w:asciiTheme="majorHAnsi" w:hAnsiTheme="majorHAnsi" w:cstheme="majorHAnsi"/>
          <w:sz w:val="22"/>
          <w:szCs w:val="22"/>
        </w:rPr>
      </w:pPr>
      <w:r w:rsidRPr="009C3322">
        <w:rPr>
          <w:rFonts w:asciiTheme="majorHAnsi" w:eastAsia="Calibri" w:hAnsiTheme="majorHAnsi" w:cstheme="majorHAnsi"/>
          <w:sz w:val="22"/>
          <w:szCs w:val="22"/>
        </w:rPr>
        <w:t>Otras condiciones que sean necesarias para regular la transferencia de recursos.</w:t>
      </w:r>
    </w:p>
    <w:p w14:paraId="707D3E53" w14:textId="77777777" w:rsidR="00494871" w:rsidRPr="009C3322" w:rsidRDefault="00494871" w:rsidP="00494871">
      <w:pPr>
        <w:widowControl w:val="0"/>
        <w:pBdr>
          <w:top w:val="nil"/>
          <w:left w:val="nil"/>
          <w:bottom w:val="nil"/>
          <w:right w:val="nil"/>
          <w:between w:val="nil"/>
        </w:pBdr>
        <w:ind w:left="644"/>
        <w:jc w:val="both"/>
        <w:rPr>
          <w:rFonts w:asciiTheme="majorHAnsi" w:eastAsia="Calibri" w:hAnsiTheme="majorHAnsi" w:cstheme="majorHAnsi"/>
          <w:sz w:val="22"/>
          <w:szCs w:val="22"/>
        </w:rPr>
      </w:pPr>
    </w:p>
    <w:p w14:paraId="0FCCECCE" w14:textId="77777777" w:rsidR="00494871" w:rsidRPr="009C3322" w:rsidRDefault="00494871" w:rsidP="00494871">
      <w:pPr>
        <w:widowControl w:val="0"/>
        <w:numPr>
          <w:ilvl w:val="0"/>
          <w:numId w:val="8"/>
        </w:numPr>
        <w:pBdr>
          <w:top w:val="nil"/>
          <w:left w:val="nil"/>
          <w:bottom w:val="nil"/>
          <w:right w:val="nil"/>
          <w:between w:val="nil"/>
        </w:pBdr>
        <w:ind w:left="0" w:firstLine="0"/>
        <w:jc w:val="both"/>
        <w:rPr>
          <w:rFonts w:asciiTheme="majorHAnsi" w:eastAsia="Calibri" w:hAnsiTheme="majorHAnsi" w:cstheme="majorHAnsi"/>
          <w:sz w:val="22"/>
          <w:szCs w:val="22"/>
        </w:rPr>
      </w:pPr>
      <w:r w:rsidRPr="009C3322">
        <w:rPr>
          <w:rFonts w:asciiTheme="majorHAnsi" w:eastAsia="Calibri" w:hAnsiTheme="majorHAnsi" w:cstheme="majorHAnsi"/>
          <w:sz w:val="22"/>
          <w:szCs w:val="22"/>
        </w:rPr>
        <w:t>La ejecución y el seguimiento del proyecto se realizan en el marco del Manual Operativo de Proyectos del ProInnóvate, el cual será incluido en el Contrato de Adjudicación de RNR.</w:t>
      </w:r>
    </w:p>
    <w:p w14:paraId="43A55342" w14:textId="77777777" w:rsidR="00494871" w:rsidRPr="009C3322" w:rsidRDefault="00494871" w:rsidP="00494871">
      <w:pPr>
        <w:widowControl w:val="0"/>
        <w:jc w:val="both"/>
        <w:rPr>
          <w:rFonts w:asciiTheme="majorHAnsi" w:eastAsia="Calibri" w:hAnsiTheme="majorHAnsi" w:cstheme="majorHAnsi"/>
          <w:sz w:val="22"/>
          <w:szCs w:val="22"/>
        </w:rPr>
      </w:pPr>
    </w:p>
    <w:p w14:paraId="3877DC33" w14:textId="77777777" w:rsidR="00494871" w:rsidRPr="009C3322" w:rsidRDefault="00494871" w:rsidP="00494871">
      <w:pPr>
        <w:widowControl w:val="0"/>
        <w:jc w:val="both"/>
        <w:rPr>
          <w:rFonts w:asciiTheme="majorHAnsi" w:eastAsia="Calibri" w:hAnsiTheme="majorHAnsi" w:cstheme="majorHAnsi"/>
          <w:sz w:val="22"/>
          <w:szCs w:val="22"/>
        </w:rPr>
      </w:pPr>
    </w:p>
    <w:p w14:paraId="69476678" w14:textId="77777777" w:rsidR="00494871" w:rsidRPr="00494871" w:rsidRDefault="00494871" w:rsidP="00494871">
      <w:pPr>
        <w:pStyle w:val="Ttulo1"/>
        <w:spacing w:before="0" w:after="0"/>
        <w:jc w:val="center"/>
        <w:rPr>
          <w:rFonts w:asciiTheme="majorHAnsi" w:eastAsia="Calibri" w:hAnsiTheme="majorHAnsi" w:cstheme="majorHAnsi"/>
          <w:sz w:val="22"/>
          <w:szCs w:val="22"/>
        </w:rPr>
      </w:pPr>
      <w:r w:rsidRPr="00494871">
        <w:rPr>
          <w:rFonts w:asciiTheme="majorHAnsi" w:eastAsia="Calibri" w:hAnsiTheme="majorHAnsi" w:cstheme="majorHAnsi"/>
          <w:sz w:val="22"/>
          <w:szCs w:val="22"/>
        </w:rPr>
        <w:br w:type="page"/>
      </w:r>
      <w:bookmarkStart w:id="7" w:name="_Toc144981595"/>
      <w:r w:rsidRPr="00494871">
        <w:rPr>
          <w:rStyle w:val="Ttulodellibro"/>
          <w:rFonts w:asciiTheme="majorHAnsi" w:eastAsia="Calibri" w:hAnsiTheme="majorHAnsi" w:cstheme="majorHAnsi"/>
          <w:b/>
          <w:bCs w:val="0"/>
          <w:i w:val="0"/>
          <w:iCs w:val="0"/>
          <w:sz w:val="22"/>
          <w:szCs w:val="22"/>
        </w:rPr>
        <w:lastRenderedPageBreak/>
        <w:t>Anexo 4: Directrices para</w:t>
      </w:r>
      <w:r w:rsidRPr="00494871">
        <w:rPr>
          <w:rStyle w:val="Ttulodellibro"/>
          <w:rFonts w:asciiTheme="majorHAnsi" w:eastAsia="Calibri" w:hAnsiTheme="majorHAnsi" w:cstheme="majorHAnsi"/>
          <w:sz w:val="22"/>
          <w:szCs w:val="22"/>
        </w:rPr>
        <w:t xml:space="preserve"> </w:t>
      </w:r>
      <w:r w:rsidRPr="00494871">
        <w:rPr>
          <w:rStyle w:val="Ttulodellibro"/>
          <w:rFonts w:asciiTheme="majorHAnsi" w:eastAsia="Calibri" w:hAnsiTheme="majorHAnsi" w:cstheme="majorHAnsi"/>
          <w:b/>
          <w:bCs w:val="0"/>
          <w:i w:val="0"/>
          <w:iCs w:val="0"/>
          <w:sz w:val="22"/>
          <w:szCs w:val="22"/>
        </w:rPr>
        <w:t>el convenio de acompañamiento con servicios administrativos y técnicos a brindar por incubadoras y aceleradoras financiadas por ProInnóvate</w:t>
      </w:r>
      <w:bookmarkEnd w:id="7"/>
      <w:r w:rsidRPr="00494871">
        <w:rPr>
          <w:rFonts w:asciiTheme="majorHAnsi" w:eastAsia="Calibri" w:hAnsiTheme="majorHAnsi" w:cstheme="majorHAnsi"/>
          <w:sz w:val="22"/>
          <w:szCs w:val="22"/>
        </w:rPr>
        <w:t xml:space="preserve"> </w:t>
      </w:r>
    </w:p>
    <w:p w14:paraId="7332F08B" w14:textId="77777777" w:rsidR="00494871" w:rsidRPr="009C3322" w:rsidRDefault="00494871" w:rsidP="00494871">
      <w:pPr>
        <w:jc w:val="both"/>
        <w:rPr>
          <w:rFonts w:asciiTheme="majorHAnsi" w:eastAsia="Calibri" w:hAnsiTheme="majorHAnsi" w:cstheme="majorHAnsi"/>
          <w:b/>
          <w:bCs/>
          <w:sz w:val="22"/>
          <w:szCs w:val="22"/>
        </w:rPr>
      </w:pPr>
    </w:p>
    <w:p w14:paraId="0442F45E" w14:textId="77777777" w:rsidR="00494871" w:rsidRPr="009C3322" w:rsidRDefault="00494871" w:rsidP="00494871">
      <w:pPr>
        <w:pStyle w:val="Prrafodelista"/>
        <w:numPr>
          <w:ilvl w:val="0"/>
          <w:numId w:val="9"/>
        </w:numPr>
        <w:ind w:left="0" w:firstLine="0"/>
        <w:jc w:val="both"/>
        <w:rPr>
          <w:rFonts w:asciiTheme="majorHAnsi" w:eastAsia="Calibri" w:hAnsiTheme="majorHAnsi" w:cstheme="majorHAnsi"/>
          <w:sz w:val="22"/>
          <w:szCs w:val="22"/>
        </w:rPr>
      </w:pPr>
      <w:r w:rsidRPr="009C3322">
        <w:rPr>
          <w:rFonts w:asciiTheme="majorHAnsi" w:eastAsia="Calibri" w:hAnsiTheme="majorHAnsi" w:cstheme="majorHAnsi"/>
          <w:sz w:val="22"/>
          <w:szCs w:val="22"/>
        </w:rPr>
        <w:t>Las incubadoras y aceleradoras que hayan sido financiadas por ProInnóvate (antes Innóvate Perú) tendrán la posibilidad de suscribir un convenio entre su entidad y ProInnóvate con el fin de recibir a aquellos equipos ganadores que hayan presentado y que hayan postulado de manera independiente, según lo indicado en la sección C de las bases. Se considerará válido para esta convocatoria los convenios suscritos con este fin en el marco de la convocatoria de Startup Perú 8G+</w:t>
      </w:r>
      <w:r>
        <w:rPr>
          <w:rFonts w:asciiTheme="majorHAnsi" w:eastAsia="Calibri" w:hAnsiTheme="majorHAnsi" w:cstheme="majorHAnsi"/>
          <w:sz w:val="22"/>
          <w:szCs w:val="22"/>
        </w:rPr>
        <w:t xml:space="preserve"> y Startup Perú 9G</w:t>
      </w:r>
      <w:r w:rsidRPr="009C3322">
        <w:rPr>
          <w:rFonts w:asciiTheme="majorHAnsi" w:eastAsia="Calibri" w:hAnsiTheme="majorHAnsi" w:cstheme="majorHAnsi"/>
          <w:sz w:val="22"/>
          <w:szCs w:val="22"/>
        </w:rPr>
        <w:t>.</w:t>
      </w:r>
    </w:p>
    <w:p w14:paraId="17A574F8" w14:textId="77777777" w:rsidR="00494871" w:rsidRPr="009C3322" w:rsidRDefault="00494871" w:rsidP="00494871">
      <w:pPr>
        <w:pStyle w:val="Prrafodelista"/>
        <w:ind w:left="0"/>
        <w:jc w:val="both"/>
        <w:rPr>
          <w:rFonts w:asciiTheme="majorHAnsi" w:eastAsia="Calibri" w:hAnsiTheme="majorHAnsi" w:cstheme="majorHAnsi"/>
          <w:b/>
          <w:bCs/>
          <w:sz w:val="22"/>
          <w:szCs w:val="22"/>
        </w:rPr>
      </w:pPr>
    </w:p>
    <w:p w14:paraId="41851820" w14:textId="77777777" w:rsidR="00494871" w:rsidRPr="009C3322" w:rsidRDefault="00494871" w:rsidP="00494871">
      <w:pPr>
        <w:pStyle w:val="Prrafodelista"/>
        <w:numPr>
          <w:ilvl w:val="0"/>
          <w:numId w:val="9"/>
        </w:numPr>
        <w:ind w:left="0" w:firstLine="0"/>
        <w:jc w:val="both"/>
        <w:rPr>
          <w:rFonts w:asciiTheme="majorHAnsi" w:eastAsia="Calibri" w:hAnsiTheme="majorHAnsi" w:cstheme="majorHAnsi"/>
          <w:sz w:val="22"/>
          <w:szCs w:val="22"/>
        </w:rPr>
      </w:pPr>
      <w:r w:rsidRPr="009C3322">
        <w:rPr>
          <w:rFonts w:asciiTheme="majorHAnsi" w:eastAsia="Calibri" w:hAnsiTheme="majorHAnsi" w:cstheme="majorHAnsi"/>
          <w:sz w:val="22"/>
          <w:szCs w:val="22"/>
        </w:rPr>
        <w:t xml:space="preserve">En dicho convenio, las incubadoras y aceleradoras interesadas deberán suscribir compromisos mínimos para el acompañamiento que brindarán a los proyectos que les sean asignados, los cuales deberán estar alineados al objetivo del presente concurso y por los que </w:t>
      </w:r>
      <w:r w:rsidRPr="009C3322">
        <w:rPr>
          <w:rFonts w:asciiTheme="majorHAnsi" w:eastAsia="Calibri" w:hAnsiTheme="majorHAnsi" w:cstheme="majorHAnsi"/>
          <w:sz w:val="22"/>
          <w:szCs w:val="22"/>
          <w:u w:val="single"/>
        </w:rPr>
        <w:t>recibirán un monto fijo por parte del equipo emprendedor ganador</w:t>
      </w:r>
      <w:r w:rsidRPr="009C3322">
        <w:rPr>
          <w:rFonts w:asciiTheme="majorHAnsi" w:eastAsia="Calibri" w:hAnsiTheme="majorHAnsi" w:cstheme="majorHAnsi"/>
          <w:sz w:val="22"/>
          <w:szCs w:val="22"/>
        </w:rPr>
        <w:t>.</w:t>
      </w:r>
    </w:p>
    <w:p w14:paraId="29FB48C9" w14:textId="77777777" w:rsidR="00494871" w:rsidRPr="009C3322" w:rsidRDefault="00494871" w:rsidP="00494871">
      <w:pPr>
        <w:jc w:val="both"/>
        <w:rPr>
          <w:rFonts w:asciiTheme="majorHAnsi" w:eastAsia="Calibri" w:hAnsiTheme="majorHAnsi" w:cstheme="majorHAnsi"/>
          <w:sz w:val="22"/>
          <w:szCs w:val="22"/>
        </w:rPr>
      </w:pPr>
    </w:p>
    <w:p w14:paraId="28241399" w14:textId="77777777" w:rsidR="00494871" w:rsidRPr="009C3322" w:rsidRDefault="00494871" w:rsidP="00494871">
      <w:pPr>
        <w:pStyle w:val="Prrafodelista"/>
        <w:numPr>
          <w:ilvl w:val="0"/>
          <w:numId w:val="9"/>
        </w:numPr>
        <w:ind w:left="0" w:firstLine="0"/>
        <w:jc w:val="both"/>
        <w:rPr>
          <w:rFonts w:asciiTheme="majorHAnsi" w:eastAsia="Calibri" w:hAnsiTheme="majorHAnsi" w:cstheme="majorHAnsi"/>
          <w:sz w:val="22"/>
          <w:szCs w:val="22"/>
        </w:rPr>
      </w:pPr>
      <w:r w:rsidRPr="009C3322">
        <w:rPr>
          <w:rFonts w:asciiTheme="majorHAnsi" w:eastAsia="Calibri" w:hAnsiTheme="majorHAnsi" w:cstheme="majorHAnsi"/>
          <w:sz w:val="22"/>
          <w:szCs w:val="22"/>
        </w:rPr>
        <w:t>Cabe precisar que la incubadora/aceleradora debe efectuar el seguimiento según los compromisos asumidos a los proyectos que respalda ya que en caso incumpliera sus obligaciones, el equipo emprendedor lo podrá reportar a ProInnóvate a fin de evaluar la no procedencia del pago correspondiente y/o la resolución del convenio de acompañamiento que se hubiere suscrito. No obstante, en caso de que, a pesar de haber cumplido sus obligaciones, el equipo emprendedor no efectúe el pago a la incubadora/aceleradora, ésta deberá comunicarlo a ProInnóvate, con el objeto de tomar las acciones necesarias y, de ser el caso, resolver el Contrato de Adjudicación de RNR suscrito con el equipo emprendedor.</w:t>
      </w:r>
    </w:p>
    <w:p w14:paraId="0B10A07D" w14:textId="77777777" w:rsidR="00494871" w:rsidRPr="009C3322" w:rsidRDefault="00494871" w:rsidP="00494871">
      <w:pPr>
        <w:shd w:val="clear" w:color="auto" w:fill="FFFFFF" w:themeFill="background1"/>
        <w:jc w:val="both"/>
        <w:rPr>
          <w:rFonts w:asciiTheme="majorHAnsi" w:eastAsia="Calibri" w:hAnsiTheme="majorHAnsi" w:cstheme="majorHAnsi"/>
          <w:sz w:val="22"/>
          <w:szCs w:val="22"/>
        </w:rPr>
      </w:pPr>
    </w:p>
    <w:p w14:paraId="17E98EF7" w14:textId="77777777" w:rsidR="00494871" w:rsidRPr="009C3322" w:rsidRDefault="00494871" w:rsidP="00494871">
      <w:pPr>
        <w:rPr>
          <w:rFonts w:asciiTheme="majorHAnsi" w:hAnsiTheme="majorHAnsi" w:cstheme="majorHAnsi"/>
          <w:sz w:val="22"/>
          <w:szCs w:val="22"/>
        </w:rPr>
      </w:pPr>
    </w:p>
    <w:p w14:paraId="377253A0" w14:textId="77777777" w:rsidR="00C748EE" w:rsidRDefault="00C748EE"/>
    <w:sectPr w:rsidR="00C748EE" w:rsidSect="009C3322">
      <w:headerReference w:type="default" r:id="rId8"/>
      <w:footerReference w:type="even" r:id="rId9"/>
      <w:footerReference w:type="default" r:id="rId10"/>
      <w:pgSz w:w="11907" w:h="16840" w:code="9"/>
      <w:pgMar w:top="1417" w:right="1701" w:bottom="1417" w:left="1701"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92AB2" w14:textId="77777777" w:rsidR="00494871" w:rsidRDefault="00494871" w:rsidP="00494871">
      <w:r>
        <w:separator/>
      </w:r>
    </w:p>
  </w:endnote>
  <w:endnote w:type="continuationSeparator" w:id="0">
    <w:p w14:paraId="7003819F" w14:textId="77777777" w:rsidR="00494871" w:rsidRDefault="00494871" w:rsidP="0049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11CC" w14:textId="77777777" w:rsidR="00494871" w:rsidRDefault="00494871">
    <w:pPr>
      <w:pBdr>
        <w:top w:val="nil"/>
        <w:left w:val="nil"/>
        <w:bottom w:val="nil"/>
        <w:right w:val="nil"/>
        <w:between w:val="nil"/>
      </w:pBdr>
      <w:tabs>
        <w:tab w:val="center" w:pos="4252"/>
        <w:tab w:val="right" w:pos="8504"/>
      </w:tabs>
      <w:jc w:val="right"/>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end"/>
    </w:r>
  </w:p>
  <w:p w14:paraId="0A568013" w14:textId="77777777" w:rsidR="00494871" w:rsidRDefault="0049487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B6F8" w14:textId="77777777" w:rsidR="00494871" w:rsidRPr="00651981" w:rsidRDefault="00494871" w:rsidP="001037B8">
    <w:pPr>
      <w:pBdr>
        <w:top w:val="nil"/>
        <w:left w:val="nil"/>
        <w:bottom w:val="nil"/>
        <w:right w:val="nil"/>
        <w:between w:val="nil"/>
      </w:pBdr>
      <w:tabs>
        <w:tab w:val="center" w:pos="4252"/>
        <w:tab w:val="right" w:pos="8504"/>
      </w:tabs>
      <w:jc w:val="right"/>
      <w:rPr>
        <w:rFonts w:asciiTheme="majorHAnsi" w:hAnsiTheme="majorHAnsi" w:cstheme="majorHAnsi"/>
        <w:color w:val="000000"/>
        <w:sz w:val="22"/>
        <w:szCs w:val="22"/>
      </w:rPr>
    </w:pPr>
    <w:hyperlink w:anchor="_top" w:history="1">
      <w:r w:rsidRPr="009C2ED2">
        <w:rPr>
          <w:rStyle w:val="Hipervnculo"/>
          <w:rFonts w:asciiTheme="majorHAnsi" w:hAnsiTheme="majorHAnsi" w:cstheme="majorHAnsi"/>
          <w:sz w:val="22"/>
          <w:szCs w:val="22"/>
        </w:rPr>
        <w:t>Volver al índice</w:t>
      </w:r>
    </w:hyperlink>
    <w:r>
      <w:rPr>
        <w:rFonts w:asciiTheme="majorHAnsi" w:hAnsiTheme="majorHAnsi" w:cstheme="majorHAnsi"/>
        <w:color w:val="000000"/>
        <w:sz w:val="22"/>
        <w:szCs w:val="22"/>
      </w:rPr>
      <w:t xml:space="preserve">                                                                                                                                           </w:t>
    </w:r>
    <w:r w:rsidRPr="00085209">
      <w:rPr>
        <w:rFonts w:asciiTheme="majorHAnsi" w:hAnsiTheme="majorHAnsi" w:cstheme="majorHAnsi"/>
        <w:color w:val="000000"/>
        <w:sz w:val="22"/>
        <w:szCs w:val="22"/>
        <w:shd w:val="clear" w:color="auto" w:fill="E6E6E6"/>
      </w:rPr>
      <w:fldChar w:fldCharType="begin"/>
    </w:r>
    <w:r w:rsidRPr="00085209">
      <w:rPr>
        <w:rFonts w:asciiTheme="majorHAnsi" w:hAnsiTheme="majorHAnsi" w:cstheme="majorHAnsi"/>
        <w:color w:val="000000"/>
        <w:sz w:val="22"/>
        <w:szCs w:val="22"/>
      </w:rPr>
      <w:instrText>PAGE</w:instrText>
    </w:r>
    <w:r w:rsidRPr="00085209">
      <w:rPr>
        <w:rFonts w:asciiTheme="majorHAnsi" w:hAnsiTheme="majorHAnsi" w:cstheme="majorHAnsi"/>
        <w:color w:val="000000"/>
        <w:sz w:val="22"/>
        <w:szCs w:val="22"/>
        <w:shd w:val="clear" w:color="auto" w:fill="E6E6E6"/>
      </w:rPr>
      <w:fldChar w:fldCharType="separate"/>
    </w:r>
    <w:r w:rsidRPr="00085209">
      <w:rPr>
        <w:rFonts w:asciiTheme="majorHAnsi" w:hAnsiTheme="majorHAnsi" w:cstheme="majorHAnsi"/>
        <w:noProof/>
        <w:color w:val="000000"/>
        <w:sz w:val="22"/>
        <w:szCs w:val="22"/>
        <w:shd w:val="clear" w:color="auto" w:fill="E6E6E6"/>
      </w:rPr>
      <w:t>24</w:t>
    </w:r>
    <w:r w:rsidRPr="00085209">
      <w:rPr>
        <w:rFonts w:asciiTheme="majorHAnsi" w:hAnsiTheme="majorHAnsi" w:cstheme="majorHAnsi"/>
        <w:color w:val="000000"/>
        <w:sz w:val="22"/>
        <w:szCs w:val="22"/>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1CCB4" w14:textId="77777777" w:rsidR="00494871" w:rsidRDefault="00494871" w:rsidP="00494871">
      <w:r>
        <w:separator/>
      </w:r>
    </w:p>
  </w:footnote>
  <w:footnote w:type="continuationSeparator" w:id="0">
    <w:p w14:paraId="402522EC" w14:textId="77777777" w:rsidR="00494871" w:rsidRDefault="00494871" w:rsidP="00494871">
      <w:r>
        <w:continuationSeparator/>
      </w:r>
    </w:p>
  </w:footnote>
  <w:footnote w:id="1">
    <w:p w14:paraId="31C3AE63" w14:textId="77777777" w:rsidR="00494871" w:rsidRPr="00DF5BD0" w:rsidRDefault="00494871" w:rsidP="00494871">
      <w:pPr>
        <w:jc w:val="both"/>
        <w:rPr>
          <w:rFonts w:asciiTheme="majorHAnsi" w:hAnsiTheme="majorHAnsi" w:cstheme="majorHAnsi"/>
          <w:sz w:val="18"/>
          <w:szCs w:val="18"/>
        </w:rPr>
      </w:pPr>
      <w:r w:rsidRPr="00DF5BD0">
        <w:rPr>
          <w:rFonts w:asciiTheme="majorHAnsi" w:hAnsiTheme="majorHAnsi" w:cstheme="majorHAnsi"/>
          <w:sz w:val="18"/>
          <w:szCs w:val="18"/>
          <w:vertAlign w:val="superscript"/>
        </w:rPr>
        <w:footnoteRef/>
      </w:r>
      <w:r w:rsidRPr="00DF5BD0">
        <w:rPr>
          <w:rFonts w:asciiTheme="majorHAnsi" w:hAnsiTheme="majorHAnsi" w:cstheme="majorHAnsi"/>
          <w:sz w:val="18"/>
          <w:szCs w:val="18"/>
        </w:rPr>
        <w:t xml:space="preserve"> </w:t>
      </w:r>
      <w:r w:rsidRPr="00DF5BD0">
        <w:rPr>
          <w:rFonts w:asciiTheme="majorHAnsi" w:eastAsia="Calibri" w:hAnsiTheme="majorHAnsi" w:cstheme="majorHAnsi"/>
          <w:sz w:val="18"/>
          <w:szCs w:val="18"/>
        </w:rPr>
        <w:t>Si ha fraccionado su deuda ante la SUNAT y su deuda figura en estado coactivo, debe adjuntar la resolución de fraccionamiento en su postulación.</w:t>
      </w:r>
    </w:p>
  </w:footnote>
  <w:footnote w:id="2">
    <w:p w14:paraId="3B05E222" w14:textId="77777777" w:rsidR="00494871" w:rsidRPr="00DF5BD0" w:rsidRDefault="00494871" w:rsidP="00494871">
      <w:pPr>
        <w:pStyle w:val="Textonotapie"/>
        <w:jc w:val="both"/>
        <w:rPr>
          <w:rFonts w:asciiTheme="majorHAnsi" w:hAnsiTheme="majorHAnsi" w:cstheme="majorBidi"/>
          <w:sz w:val="18"/>
          <w:szCs w:val="18"/>
        </w:rPr>
      </w:pPr>
      <w:r w:rsidRPr="1D27002E">
        <w:rPr>
          <w:rStyle w:val="Refdenotaalpie"/>
          <w:rFonts w:asciiTheme="majorHAnsi" w:hAnsiTheme="majorHAnsi" w:cstheme="majorBidi"/>
          <w:sz w:val="18"/>
          <w:szCs w:val="18"/>
        </w:rPr>
        <w:footnoteRef/>
      </w:r>
      <w:r w:rsidRPr="1D27002E">
        <w:rPr>
          <w:rFonts w:asciiTheme="majorHAnsi" w:hAnsiTheme="majorHAnsi" w:cstheme="majorBidi"/>
          <w:sz w:val="18"/>
          <w:szCs w:val="18"/>
        </w:rPr>
        <w:t xml:space="preserve"> Se deberá presentar el documento que acredite su último puesto de trabajo al momento de suscribir el contrato.</w:t>
      </w:r>
    </w:p>
  </w:footnote>
  <w:footnote w:id="3">
    <w:p w14:paraId="6BC107D8" w14:textId="77777777" w:rsidR="00494871" w:rsidRPr="00DF5BD0" w:rsidRDefault="00494871" w:rsidP="00494871">
      <w:pPr>
        <w:pBdr>
          <w:top w:val="nil"/>
          <w:left w:val="nil"/>
          <w:bottom w:val="nil"/>
          <w:right w:val="nil"/>
          <w:between w:val="nil"/>
        </w:pBdr>
        <w:jc w:val="both"/>
        <w:rPr>
          <w:rFonts w:asciiTheme="majorHAnsi" w:hAnsiTheme="majorHAnsi" w:cstheme="majorHAnsi"/>
          <w:color w:val="000000"/>
          <w:sz w:val="18"/>
          <w:szCs w:val="18"/>
        </w:rPr>
      </w:pPr>
      <w:r w:rsidRPr="00DF5BD0">
        <w:rPr>
          <w:rFonts w:asciiTheme="majorHAnsi" w:hAnsiTheme="majorHAnsi" w:cstheme="majorHAnsi"/>
          <w:sz w:val="18"/>
          <w:szCs w:val="18"/>
          <w:vertAlign w:val="superscript"/>
        </w:rPr>
        <w:footnoteRef/>
      </w:r>
      <w:r w:rsidRPr="00DF5BD0">
        <w:rPr>
          <w:rFonts w:asciiTheme="majorHAnsi" w:hAnsiTheme="majorHAnsi" w:cstheme="majorHAnsi"/>
          <w:color w:val="000000"/>
          <w:sz w:val="18"/>
          <w:szCs w:val="18"/>
        </w:rPr>
        <w:t xml:space="preserve"> La empresa debe adjuntar la partida registral o libro de </w:t>
      </w:r>
      <w:r w:rsidRPr="00DF5BD0">
        <w:rPr>
          <w:rFonts w:asciiTheme="majorHAnsi" w:hAnsiTheme="majorHAnsi" w:cstheme="majorHAnsi"/>
          <w:sz w:val="18"/>
          <w:szCs w:val="18"/>
        </w:rPr>
        <w:t>matrícula</w:t>
      </w:r>
      <w:r w:rsidRPr="00DF5BD0">
        <w:rPr>
          <w:rFonts w:asciiTheme="majorHAnsi" w:hAnsiTheme="majorHAnsi" w:cstheme="majorHAnsi"/>
          <w:color w:val="000000"/>
          <w:sz w:val="18"/>
          <w:szCs w:val="18"/>
        </w:rPr>
        <w:t xml:space="preserve"> de acciones en donde figure </w:t>
      </w:r>
      <w:r>
        <w:rPr>
          <w:rFonts w:asciiTheme="majorHAnsi" w:hAnsiTheme="majorHAnsi" w:cstheme="majorHAnsi"/>
          <w:color w:val="000000"/>
          <w:sz w:val="18"/>
          <w:szCs w:val="18"/>
        </w:rPr>
        <w:t>la información solicitada</w:t>
      </w:r>
      <w:r w:rsidRPr="00DF5BD0">
        <w:rPr>
          <w:rFonts w:asciiTheme="majorHAnsi" w:hAnsiTheme="majorHAnsi" w:cstheme="majorHAnsi"/>
          <w:color w:val="000000"/>
          <w:sz w:val="18"/>
          <w:szCs w:val="18"/>
        </w:rPr>
        <w:t>.</w:t>
      </w:r>
    </w:p>
  </w:footnote>
  <w:footnote w:id="4">
    <w:p w14:paraId="6756CCF9" w14:textId="77777777" w:rsidR="00494871" w:rsidRPr="00225CC9" w:rsidRDefault="00494871" w:rsidP="00494871">
      <w:pPr>
        <w:pStyle w:val="Textocomentario"/>
        <w:jc w:val="both"/>
        <w:rPr>
          <w:rFonts w:asciiTheme="majorHAnsi" w:hAnsiTheme="majorHAnsi" w:cstheme="majorHAnsi"/>
          <w:sz w:val="18"/>
          <w:szCs w:val="18"/>
        </w:rPr>
      </w:pPr>
      <w:r w:rsidRPr="00225CC9">
        <w:rPr>
          <w:rStyle w:val="Refdenotaalpie"/>
          <w:rFonts w:asciiTheme="majorHAnsi" w:hAnsiTheme="majorHAnsi" w:cstheme="majorHAnsi"/>
          <w:sz w:val="18"/>
          <w:szCs w:val="18"/>
        </w:rPr>
        <w:footnoteRef/>
      </w:r>
      <w:r w:rsidRPr="00225CC9">
        <w:rPr>
          <w:rFonts w:asciiTheme="majorHAnsi" w:hAnsiTheme="majorHAnsi" w:cstheme="majorHAnsi"/>
          <w:sz w:val="18"/>
          <w:szCs w:val="18"/>
        </w:rPr>
        <w:t xml:space="preserve"> Tales como documentación del conocimiento tecnológico, técnicas y know-how (por ejemplo, manuales, especificaciones, pruebas, certificaciones, informes de asistencia técnica), diseño industrial, protección de propiedad intelectual, autorizaciones para comercialización, información financiera, organización para producción y logística de abastecimiento y distribución, plan de puesta en marcha de la estrategia comercial para la introducción al mercado, y toda la información de las condiciones necesarias para llevar la innovación al consumidor final o a las potenciales empresas o instituciones receptoras del desarrollo, para su industrialización a mayor escala.</w:t>
      </w:r>
    </w:p>
    <w:p w14:paraId="08024EB1" w14:textId="77777777" w:rsidR="00494871" w:rsidRPr="005653F7" w:rsidRDefault="00494871" w:rsidP="00494871">
      <w:pPr>
        <w:pStyle w:val="Textonotapie"/>
        <w:rPr>
          <w:rFonts w:ascii="Arial" w:hAnsi="Arial" w:cs="Arial"/>
          <w:sz w:val="16"/>
          <w:szCs w:val="16"/>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94CC" w14:textId="77777777" w:rsidR="00494871" w:rsidRDefault="00494871">
    <w:pPr>
      <w:pBdr>
        <w:top w:val="nil"/>
        <w:left w:val="nil"/>
        <w:bottom w:val="nil"/>
        <w:right w:val="nil"/>
        <w:between w:val="nil"/>
      </w:pBdr>
      <w:tabs>
        <w:tab w:val="center" w:pos="4252"/>
        <w:tab w:val="right" w:pos="8504"/>
      </w:tabs>
      <w:jc w:val="right"/>
      <w:rPr>
        <w:rFonts w:ascii="Arial" w:eastAsia="Arial" w:hAnsi="Arial" w:cs="Arial"/>
        <w:color w:val="000000"/>
        <w:sz w:val="18"/>
        <w:szCs w:val="18"/>
        <w:u w:val="single"/>
      </w:rPr>
    </w:pPr>
    <w:r>
      <w:rPr>
        <w:rFonts w:ascii="Arial" w:eastAsia="Arial" w:hAnsi="Arial" w:cs="Arial"/>
        <w:noProof/>
        <w:color w:val="000000"/>
        <w:sz w:val="18"/>
        <w:szCs w:val="18"/>
      </w:rPr>
      <w:drawing>
        <wp:anchor distT="0" distB="0" distL="114300" distR="114300" simplePos="0" relativeHeight="251660288" behindDoc="0" locked="0" layoutInCell="1" allowOverlap="1" wp14:anchorId="2FD9A394" wp14:editId="4B653D08">
          <wp:simplePos x="0" y="0"/>
          <wp:positionH relativeFrom="margin">
            <wp:posOffset>4133850</wp:posOffset>
          </wp:positionH>
          <wp:positionV relativeFrom="paragraph">
            <wp:posOffset>-149225</wp:posOffset>
          </wp:positionV>
          <wp:extent cx="1266825" cy="407035"/>
          <wp:effectExtent l="0" t="0" r="0" b="0"/>
          <wp:wrapSquare wrapText="bothSides"/>
          <wp:docPr id="56371402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714024" name="Imagen 563714024"/>
                  <pic:cNvPicPr/>
                </pic:nvPicPr>
                <pic:blipFill>
                  <a:blip r:embed="rId1">
                    <a:extLst>
                      <a:ext uri="{28A0092B-C50C-407E-A947-70E740481C1C}">
                        <a14:useLocalDpi xmlns:a14="http://schemas.microsoft.com/office/drawing/2010/main" val="0"/>
                      </a:ext>
                    </a:extLst>
                  </a:blip>
                  <a:stretch>
                    <a:fillRect/>
                  </a:stretch>
                </pic:blipFill>
                <pic:spPr>
                  <a:xfrm>
                    <a:off x="0" y="0"/>
                    <a:ext cx="1266825" cy="40703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noProof/>
        <w:color w:val="000000"/>
        <w:sz w:val="18"/>
        <w:szCs w:val="18"/>
      </w:rPr>
      <w:drawing>
        <wp:anchor distT="0" distB="0" distL="114300" distR="114300" simplePos="0" relativeHeight="251659264" behindDoc="0" locked="0" layoutInCell="1" allowOverlap="1" wp14:anchorId="05E334B3" wp14:editId="786973DE">
          <wp:simplePos x="0" y="0"/>
          <wp:positionH relativeFrom="margin">
            <wp:posOffset>0</wp:posOffset>
          </wp:positionH>
          <wp:positionV relativeFrom="paragraph">
            <wp:posOffset>-170688</wp:posOffset>
          </wp:positionV>
          <wp:extent cx="1750060" cy="354330"/>
          <wp:effectExtent l="0" t="0" r="2540" b="7620"/>
          <wp:wrapSquare wrapText="bothSides"/>
          <wp:docPr id="124592397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923975" name="Imagen 1245923975"/>
                  <pic:cNvPicPr/>
                </pic:nvPicPr>
                <pic:blipFill>
                  <a:blip r:embed="rId2">
                    <a:extLst>
                      <a:ext uri="{28A0092B-C50C-407E-A947-70E740481C1C}">
                        <a14:useLocalDpi xmlns:a14="http://schemas.microsoft.com/office/drawing/2010/main" val="0"/>
                      </a:ext>
                    </a:extLst>
                  </a:blip>
                  <a:stretch>
                    <a:fillRect/>
                  </a:stretch>
                </pic:blipFill>
                <pic:spPr>
                  <a:xfrm>
                    <a:off x="0" y="0"/>
                    <a:ext cx="1750060" cy="354330"/>
                  </a:xfrm>
                  <a:prstGeom prst="rect">
                    <a:avLst/>
                  </a:prstGeom>
                </pic:spPr>
              </pic:pic>
            </a:graphicData>
          </a:graphic>
        </wp:anchor>
      </w:drawing>
    </w:r>
    <w:r>
      <w:rPr>
        <w:rFonts w:ascii="Arial" w:eastAsia="Arial" w:hAnsi="Arial" w:cs="Arial"/>
        <w:color w:val="00000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6A23"/>
    <w:multiLevelType w:val="multilevel"/>
    <w:tmpl w:val="374254C6"/>
    <w:lvl w:ilvl="0">
      <w:start w:val="1"/>
      <w:numFmt w:val="lowerRoman"/>
      <w:lvlText w:val="%1."/>
      <w:lvlJc w:val="right"/>
      <w:pPr>
        <w:ind w:left="360" w:hanging="360"/>
      </w:pPr>
      <w:rPr>
        <w:rFonts w:hint="default"/>
        <w:b w:val="0"/>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061164FD"/>
    <w:multiLevelType w:val="hybridMultilevel"/>
    <w:tmpl w:val="5DD88FC6"/>
    <w:lvl w:ilvl="0" w:tplc="FFFFFFFF">
      <w:start w:val="1"/>
      <w:numFmt w:val="decimalZero"/>
      <w:lvlText w:val="%1."/>
      <w:lvlJc w:val="left"/>
      <w:pPr>
        <w:ind w:left="720" w:hanging="360"/>
      </w:pPr>
      <w:rPr>
        <w:rFonts w:asciiTheme="majorHAnsi" w:hAnsiTheme="majorHAnsi" w:cstheme="majorHAnsi" w:hint="default"/>
        <w:b w:val="0"/>
        <w:bCs/>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BD50A3"/>
    <w:multiLevelType w:val="multilevel"/>
    <w:tmpl w:val="D4A2DD12"/>
    <w:lvl w:ilvl="0">
      <w:start w:val="1"/>
      <w:numFmt w:val="lowerRoman"/>
      <w:lvlText w:val="%1."/>
      <w:lvlJc w:val="right"/>
      <w:pPr>
        <w:ind w:left="72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21740C5"/>
    <w:multiLevelType w:val="hybridMultilevel"/>
    <w:tmpl w:val="67524C1E"/>
    <w:lvl w:ilvl="0" w:tplc="280A001B">
      <w:start w:val="1"/>
      <w:numFmt w:val="lowerRoman"/>
      <w:lvlText w:val="%1."/>
      <w:lvlJc w:val="righ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6F90E64"/>
    <w:multiLevelType w:val="multilevel"/>
    <w:tmpl w:val="91643880"/>
    <w:lvl w:ilvl="0">
      <w:start w:val="1"/>
      <w:numFmt w:val="decimal"/>
      <w:lvlText w:val="%1."/>
      <w:lvlJc w:val="left"/>
      <w:pPr>
        <w:ind w:left="360" w:hanging="360"/>
      </w:pPr>
      <w:rPr>
        <w:b/>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1B2C1E03"/>
    <w:multiLevelType w:val="hybridMultilevel"/>
    <w:tmpl w:val="B84256FC"/>
    <w:lvl w:ilvl="0" w:tplc="FFFFFFFF">
      <w:start w:val="1"/>
      <w:numFmt w:val="decimal"/>
      <w:lvlText w:val="%1."/>
      <w:lvlJc w:val="left"/>
      <w:pPr>
        <w:ind w:left="786" w:hanging="360"/>
      </w:pPr>
      <w:rPr>
        <w:b w:val="0"/>
        <w:bCs/>
        <w:i w:val="0"/>
        <w:iCs w:val="0"/>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D4506AF"/>
    <w:multiLevelType w:val="hybridMultilevel"/>
    <w:tmpl w:val="15C69780"/>
    <w:lvl w:ilvl="0" w:tplc="78224512">
      <w:start w:val="1"/>
      <w:numFmt w:val="decimalZero"/>
      <w:lvlText w:val="%1."/>
      <w:lvlJc w:val="left"/>
      <w:pPr>
        <w:ind w:left="720" w:hanging="360"/>
      </w:pPr>
      <w:rPr>
        <w:rFonts w:asciiTheme="majorHAnsi" w:hAnsiTheme="majorHAnsi" w:cstheme="majorHAnsi" w:hint="default"/>
        <w:color w:val="auto"/>
        <w:sz w:val="22"/>
        <w:szCs w:val="22"/>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9BC2F31"/>
    <w:multiLevelType w:val="multilevel"/>
    <w:tmpl w:val="38102874"/>
    <w:lvl w:ilvl="0">
      <w:start w:val="1"/>
      <w:numFmt w:val="decimal"/>
      <w:lvlText w:val="%1."/>
      <w:lvlJc w:val="left"/>
      <w:pPr>
        <w:ind w:left="360" w:hanging="360"/>
      </w:pPr>
      <w:rPr>
        <w:rFonts w:ascii="Times New Roman" w:eastAsia="Times New Roman" w:hAnsi="Times New Roman" w:cs="Times New Roman"/>
        <w:b w:val="0"/>
        <w:i w:val="0"/>
        <w:color w:val="0000FF"/>
        <w:sz w:val="20"/>
        <w:szCs w:val="20"/>
        <w:vertAlign w:val="baseline"/>
      </w:rPr>
    </w:lvl>
    <w:lvl w:ilvl="1">
      <w:start w:val="1"/>
      <w:numFmt w:val="bullet"/>
      <w:lvlText w:val="▪"/>
      <w:lvlJc w:val="left"/>
      <w:pPr>
        <w:ind w:left="300" w:hanging="360"/>
      </w:pPr>
      <w:rPr>
        <w:rFonts w:ascii="Noto Sans Symbols" w:eastAsia="Noto Sans Symbols" w:hAnsi="Noto Sans Symbols" w:cs="Noto Sans Symbols"/>
        <w:b w:val="0"/>
        <w:i w:val="0"/>
        <w:color w:val="000000"/>
        <w:sz w:val="22"/>
        <w:szCs w:val="22"/>
        <w:vertAlign w:val="baseline"/>
      </w:rPr>
    </w:lvl>
    <w:lvl w:ilvl="2">
      <w:start w:val="1"/>
      <w:numFmt w:val="lowerRoman"/>
      <w:lvlText w:val="%3)"/>
      <w:lvlJc w:val="left"/>
      <w:pPr>
        <w:ind w:left="1020" w:hanging="360"/>
      </w:pPr>
      <w:rPr>
        <w:rFonts w:ascii="Tahoma" w:eastAsia="Tahoma" w:hAnsi="Tahoma" w:cs="Tahoma"/>
        <w:b/>
        <w:i w:val="0"/>
        <w:color w:val="000000"/>
        <w:sz w:val="22"/>
        <w:szCs w:val="22"/>
        <w:vertAlign w:val="baseline"/>
      </w:rPr>
    </w:lvl>
    <w:lvl w:ilvl="3">
      <w:start w:val="1"/>
      <w:numFmt w:val="lowerLetter"/>
      <w:lvlText w:val="%4)"/>
      <w:lvlJc w:val="left"/>
      <w:pPr>
        <w:ind w:left="1740" w:hanging="360"/>
      </w:pPr>
      <w:rPr>
        <w:vertAlign w:val="baseline"/>
      </w:rPr>
    </w:lvl>
    <w:lvl w:ilvl="4">
      <w:start w:val="3"/>
      <w:numFmt w:val="bullet"/>
      <w:lvlText w:val="-"/>
      <w:lvlJc w:val="left"/>
      <w:pPr>
        <w:ind w:left="2460" w:hanging="360"/>
      </w:pPr>
      <w:rPr>
        <w:rFonts w:ascii="Arial" w:eastAsia="Arial" w:hAnsi="Arial" w:cs="Arial"/>
        <w:vertAlign w:val="baseline"/>
      </w:rPr>
    </w:lvl>
    <w:lvl w:ilvl="5">
      <w:start w:val="2"/>
      <w:numFmt w:val="upperRoman"/>
      <w:lvlText w:val="%6."/>
      <w:lvlJc w:val="left"/>
      <w:pPr>
        <w:ind w:left="3540" w:hanging="720"/>
      </w:pPr>
      <w:rPr>
        <w:vertAlign w:val="baseline"/>
      </w:rPr>
    </w:lvl>
    <w:lvl w:ilvl="6">
      <w:start w:val="1"/>
      <w:numFmt w:val="bullet"/>
      <w:lvlText w:val="●"/>
      <w:lvlJc w:val="left"/>
      <w:pPr>
        <w:ind w:left="3900" w:hanging="360"/>
      </w:pPr>
      <w:rPr>
        <w:rFonts w:ascii="Noto Sans Symbols" w:eastAsia="Noto Sans Symbols" w:hAnsi="Noto Sans Symbols" w:cs="Noto Sans Symbols"/>
        <w:vertAlign w:val="baseline"/>
      </w:rPr>
    </w:lvl>
    <w:lvl w:ilvl="7">
      <w:start w:val="1"/>
      <w:numFmt w:val="bullet"/>
      <w:lvlText w:val="o"/>
      <w:lvlJc w:val="left"/>
      <w:pPr>
        <w:ind w:left="4620" w:hanging="360"/>
      </w:pPr>
      <w:rPr>
        <w:rFonts w:ascii="Courier New" w:eastAsia="Courier New" w:hAnsi="Courier New" w:cs="Courier New"/>
        <w:vertAlign w:val="baseline"/>
      </w:rPr>
    </w:lvl>
    <w:lvl w:ilvl="8">
      <w:start w:val="1"/>
      <w:numFmt w:val="bullet"/>
      <w:lvlText w:val="▪"/>
      <w:lvlJc w:val="left"/>
      <w:pPr>
        <w:ind w:left="5340" w:hanging="360"/>
      </w:pPr>
      <w:rPr>
        <w:rFonts w:ascii="Noto Sans Symbols" w:eastAsia="Noto Sans Symbols" w:hAnsi="Noto Sans Symbols" w:cs="Noto Sans Symbols"/>
        <w:vertAlign w:val="baseline"/>
      </w:rPr>
    </w:lvl>
  </w:abstractNum>
  <w:abstractNum w:abstractNumId="8" w15:restartNumberingAfterBreak="0">
    <w:nsid w:val="3C072223"/>
    <w:multiLevelType w:val="hybridMultilevel"/>
    <w:tmpl w:val="EBD291CE"/>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A00E10"/>
    <w:multiLevelType w:val="hybridMultilevel"/>
    <w:tmpl w:val="6074B508"/>
    <w:lvl w:ilvl="0" w:tplc="E80CAE68">
      <w:start w:val="10"/>
      <w:numFmt w:val="bullet"/>
      <w:lvlText w:val="-"/>
      <w:lvlJc w:val="left"/>
      <w:pPr>
        <w:ind w:left="1080" w:hanging="360"/>
      </w:pPr>
      <w:rPr>
        <w:rFonts w:ascii="Calibri" w:eastAsia="Calibr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15:restartNumberingAfterBreak="0">
    <w:nsid w:val="5523750B"/>
    <w:multiLevelType w:val="multilevel"/>
    <w:tmpl w:val="DC6E1140"/>
    <w:lvl w:ilvl="0">
      <w:start w:val="1"/>
      <w:numFmt w:val="lowerRoman"/>
      <w:lvlText w:val="%1."/>
      <w:lvlJc w:val="right"/>
      <w:pPr>
        <w:ind w:left="720" w:hanging="360"/>
      </w:pPr>
      <w:rPr>
        <w:rFonts w:hint="default"/>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5F161FAA"/>
    <w:multiLevelType w:val="multilevel"/>
    <w:tmpl w:val="73829F66"/>
    <w:lvl w:ilvl="0">
      <w:start w:val="1"/>
      <w:numFmt w:val="decimal"/>
      <w:lvlText w:val="%1."/>
      <w:lvlJc w:val="left"/>
      <w:pPr>
        <w:ind w:left="360" w:hanging="360"/>
      </w:pPr>
      <w:rPr>
        <w:rFonts w:ascii="Times New Roman" w:eastAsia="Times New Roman" w:hAnsi="Times New Roman" w:cs="Times New Roman"/>
        <w:b w:val="0"/>
        <w:i w:val="0"/>
        <w:color w:val="0000FF"/>
        <w:sz w:val="20"/>
        <w:szCs w:val="20"/>
        <w:vertAlign w:val="baseline"/>
      </w:rPr>
    </w:lvl>
    <w:lvl w:ilvl="1">
      <w:start w:val="1"/>
      <w:numFmt w:val="lowerRoman"/>
      <w:lvlText w:val="%2."/>
      <w:lvlJc w:val="right"/>
      <w:pPr>
        <w:ind w:left="300" w:hanging="360"/>
      </w:pPr>
      <w:rPr>
        <w:rFonts w:hint="default"/>
        <w:b w:val="0"/>
        <w:i w:val="0"/>
        <w:color w:val="000000"/>
        <w:sz w:val="22"/>
        <w:szCs w:val="22"/>
        <w:vertAlign w:val="baseline"/>
      </w:rPr>
    </w:lvl>
    <w:lvl w:ilvl="2">
      <w:start w:val="1"/>
      <w:numFmt w:val="lowerRoman"/>
      <w:lvlText w:val="%3)"/>
      <w:lvlJc w:val="left"/>
      <w:pPr>
        <w:ind w:left="1020" w:hanging="360"/>
      </w:pPr>
      <w:rPr>
        <w:rFonts w:ascii="Tahoma" w:eastAsia="Tahoma" w:hAnsi="Tahoma" w:cs="Tahoma"/>
        <w:b/>
        <w:i w:val="0"/>
        <w:color w:val="000000"/>
        <w:sz w:val="22"/>
        <w:szCs w:val="22"/>
        <w:vertAlign w:val="baseline"/>
      </w:rPr>
    </w:lvl>
    <w:lvl w:ilvl="3">
      <w:start w:val="1"/>
      <w:numFmt w:val="lowerLetter"/>
      <w:lvlText w:val="%4)"/>
      <w:lvlJc w:val="left"/>
      <w:pPr>
        <w:ind w:left="1740" w:hanging="360"/>
      </w:pPr>
      <w:rPr>
        <w:vertAlign w:val="baseline"/>
      </w:rPr>
    </w:lvl>
    <w:lvl w:ilvl="4">
      <w:start w:val="3"/>
      <w:numFmt w:val="bullet"/>
      <w:lvlText w:val="-"/>
      <w:lvlJc w:val="left"/>
      <w:pPr>
        <w:ind w:left="2460" w:hanging="360"/>
      </w:pPr>
      <w:rPr>
        <w:rFonts w:ascii="Arial" w:eastAsia="Arial" w:hAnsi="Arial" w:cs="Arial"/>
        <w:vertAlign w:val="baseline"/>
      </w:rPr>
    </w:lvl>
    <w:lvl w:ilvl="5">
      <w:start w:val="1"/>
      <w:numFmt w:val="bullet"/>
      <w:lvlText w:val=""/>
      <w:lvlJc w:val="left"/>
      <w:pPr>
        <w:ind w:left="3540" w:hanging="720"/>
      </w:pPr>
      <w:rPr>
        <w:rFonts w:ascii="Symbol" w:hAnsi="Symbol" w:hint="default"/>
        <w:vertAlign w:val="baseline"/>
      </w:rPr>
    </w:lvl>
    <w:lvl w:ilvl="6">
      <w:start w:val="2"/>
      <w:numFmt w:val="upperLetter"/>
      <w:lvlText w:val="%7."/>
      <w:lvlJc w:val="left"/>
      <w:pPr>
        <w:ind w:left="3900" w:hanging="360"/>
      </w:pPr>
      <w:rPr>
        <w:vertAlign w:val="baseline"/>
      </w:rPr>
    </w:lvl>
    <w:lvl w:ilvl="7">
      <w:start w:val="1"/>
      <w:numFmt w:val="bullet"/>
      <w:lvlText w:val="o"/>
      <w:lvlJc w:val="left"/>
      <w:pPr>
        <w:ind w:left="4620" w:hanging="360"/>
      </w:pPr>
      <w:rPr>
        <w:rFonts w:ascii="Courier New" w:eastAsia="Courier New" w:hAnsi="Courier New" w:cs="Courier New"/>
        <w:vertAlign w:val="baseline"/>
      </w:rPr>
    </w:lvl>
    <w:lvl w:ilvl="8">
      <w:start w:val="1"/>
      <w:numFmt w:val="bullet"/>
      <w:lvlText w:val="▪"/>
      <w:lvlJc w:val="left"/>
      <w:pPr>
        <w:ind w:left="5340" w:hanging="360"/>
      </w:pPr>
      <w:rPr>
        <w:rFonts w:ascii="Noto Sans Symbols" w:eastAsia="Noto Sans Symbols" w:hAnsi="Noto Sans Symbols" w:cs="Noto Sans Symbols"/>
        <w:vertAlign w:val="baseline"/>
      </w:rPr>
    </w:lvl>
  </w:abstractNum>
  <w:abstractNum w:abstractNumId="12" w15:restartNumberingAfterBreak="0">
    <w:nsid w:val="609B52B8"/>
    <w:multiLevelType w:val="hybridMultilevel"/>
    <w:tmpl w:val="B5BEEDA4"/>
    <w:lvl w:ilvl="0" w:tplc="655C038E">
      <w:start w:val="1"/>
      <w:numFmt w:val="lowerRoman"/>
      <w:lvlText w:val="%1."/>
      <w:lvlJc w:val="left"/>
      <w:pPr>
        <w:ind w:left="1080" w:hanging="720"/>
      </w:pPr>
      <w:rPr>
        <w:rFonts w:asciiTheme="majorHAnsi" w:eastAsia="Calibri" w:hAnsiTheme="majorHAnsi" w:cstheme="majorHAns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7FFA7448"/>
    <w:multiLevelType w:val="hybridMultilevel"/>
    <w:tmpl w:val="65DAEB66"/>
    <w:lvl w:ilvl="0" w:tplc="4A46D522">
      <w:start w:val="1"/>
      <w:numFmt w:val="decimalZero"/>
      <w:lvlText w:val="%1."/>
      <w:lvlJc w:val="left"/>
      <w:pPr>
        <w:ind w:left="720" w:hanging="360"/>
      </w:pPr>
      <w:rPr>
        <w:rFonts w:hint="default"/>
        <w:b w:val="0"/>
        <w:bCs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9308123">
    <w:abstractNumId w:val="4"/>
  </w:num>
  <w:num w:numId="2" w16cid:durableId="2080975789">
    <w:abstractNumId w:val="7"/>
  </w:num>
  <w:num w:numId="3" w16cid:durableId="1154184362">
    <w:abstractNumId w:val="2"/>
  </w:num>
  <w:num w:numId="4" w16cid:durableId="2058116832">
    <w:abstractNumId w:val="3"/>
  </w:num>
  <w:num w:numId="5" w16cid:durableId="2126850003">
    <w:abstractNumId w:val="0"/>
  </w:num>
  <w:num w:numId="6" w16cid:durableId="2127234889">
    <w:abstractNumId w:val="11"/>
  </w:num>
  <w:num w:numId="7" w16cid:durableId="416442977">
    <w:abstractNumId w:val="10"/>
  </w:num>
  <w:num w:numId="8" w16cid:durableId="1635331199">
    <w:abstractNumId w:val="5"/>
  </w:num>
  <w:num w:numId="9" w16cid:durableId="1190070347">
    <w:abstractNumId w:val="13"/>
  </w:num>
  <w:num w:numId="10" w16cid:durableId="1414667272">
    <w:abstractNumId w:val="6"/>
  </w:num>
  <w:num w:numId="11" w16cid:durableId="289674831">
    <w:abstractNumId w:val="1"/>
  </w:num>
  <w:num w:numId="12" w16cid:durableId="222330785">
    <w:abstractNumId w:val="8"/>
  </w:num>
  <w:num w:numId="13" w16cid:durableId="231233421">
    <w:abstractNumId w:val="9"/>
  </w:num>
  <w:num w:numId="14" w16cid:durableId="20677525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71"/>
    <w:rsid w:val="00494871"/>
    <w:rsid w:val="00C748E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E312D"/>
  <w15:chartTrackingRefBased/>
  <w15:docId w15:val="{2287071E-3857-4B2B-93A9-27E323F8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94871"/>
    <w:pPr>
      <w:spacing w:line="240" w:lineRule="auto"/>
    </w:pPr>
    <w:rPr>
      <w:rFonts w:ascii="Times New Roman" w:eastAsia="Times New Roman" w:hAnsi="Times New Roman" w:cs="Times New Roman"/>
      <w:kern w:val="0"/>
      <w:sz w:val="20"/>
      <w:szCs w:val="20"/>
      <w:lang w:val="es-ES" w:eastAsia="es-PE"/>
      <w14:ligatures w14:val="none"/>
    </w:rPr>
  </w:style>
  <w:style w:type="paragraph" w:styleId="Ttulo1">
    <w:name w:val="heading 1"/>
    <w:basedOn w:val="Normal"/>
    <w:next w:val="Normal"/>
    <w:link w:val="Ttulo1Car"/>
    <w:qFormat/>
    <w:rsid w:val="00494871"/>
    <w:pPr>
      <w:keepNext/>
      <w:keepLines/>
      <w:spacing w:before="480" w:after="120"/>
      <w:outlineLvl w:val="0"/>
    </w:pPr>
    <w:rPr>
      <w:b/>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4871"/>
    <w:rPr>
      <w:rFonts w:ascii="Times New Roman" w:eastAsia="Times New Roman" w:hAnsi="Times New Roman" w:cs="Times New Roman"/>
      <w:b/>
      <w:kern w:val="0"/>
      <w:sz w:val="48"/>
      <w:szCs w:val="48"/>
      <w:lang w:val="es-ES" w:eastAsia="es-PE"/>
      <w14:ligatures w14:val="none"/>
    </w:rPr>
  </w:style>
  <w:style w:type="paragraph" w:styleId="Prrafodelista">
    <w:name w:val="List Paragraph"/>
    <w:aliases w:val="List Paragraph-Thesis,Lista vistosa - Énfasis 11,bei normal,Dot pt,No Spacing1,List Paragraph Char Char Char,Indicator Text,Numbered Para 1,Colorful List - Accent 11,Bullet 1,F5 List Paragraph,Bullet Points,lp1,viñetas,List Paragraph2,3"/>
    <w:basedOn w:val="Normal"/>
    <w:link w:val="PrrafodelistaCar"/>
    <w:uiPriority w:val="34"/>
    <w:qFormat/>
    <w:rsid w:val="00494871"/>
    <w:pPr>
      <w:ind w:left="720"/>
      <w:contextualSpacing/>
    </w:pPr>
  </w:style>
  <w:style w:type="character" w:styleId="Hipervnculo">
    <w:name w:val="Hyperlink"/>
    <w:basedOn w:val="Fuentedeprrafopredeter"/>
    <w:uiPriority w:val="99"/>
    <w:unhideWhenUsed/>
    <w:rsid w:val="00494871"/>
    <w:rPr>
      <w:color w:val="0563C1" w:themeColor="hyperlink"/>
      <w:u w:val="single"/>
    </w:rPr>
  </w:style>
  <w:style w:type="paragraph" w:styleId="Textonotapie">
    <w:name w:val="footnote text"/>
    <w:aliases w:val="Footnote Text Char Char,Footnote Text1 Char,Footnote Text Char Char Char Char,Footnote Text Char,Footnote,Footnote1,Footnote Text Char2 Char,Footnote Text Char Char1 Char1,Footnote Text Char1 Char Char Char1,Footnote Text Char1 Char1 Char"/>
    <w:basedOn w:val="Normal"/>
    <w:link w:val="TextonotapieCar"/>
    <w:uiPriority w:val="99"/>
    <w:unhideWhenUsed/>
    <w:qFormat/>
    <w:rsid w:val="00494871"/>
  </w:style>
  <w:style w:type="character" w:customStyle="1" w:styleId="TextonotapieCar">
    <w:name w:val="Texto nota pie Car"/>
    <w:aliases w:val="Footnote Text Char Char Car,Footnote Text1 Char Car,Footnote Text Char Char Char Char Car,Footnote Text Char Car,Footnote Car,Footnote1 Car,Footnote Text Char2 Char Car,Footnote Text Char Char1 Char1 Car"/>
    <w:basedOn w:val="Fuentedeprrafopredeter"/>
    <w:link w:val="Textonotapie"/>
    <w:uiPriority w:val="99"/>
    <w:rsid w:val="00494871"/>
    <w:rPr>
      <w:rFonts w:ascii="Times New Roman" w:eastAsia="Times New Roman" w:hAnsi="Times New Roman" w:cs="Times New Roman"/>
      <w:kern w:val="0"/>
      <w:sz w:val="20"/>
      <w:szCs w:val="20"/>
      <w:lang w:val="es-ES" w:eastAsia="es-PE"/>
      <w14:ligatures w14:val="none"/>
    </w:rPr>
  </w:style>
  <w:style w:type="character" w:styleId="Refdenotaalpie">
    <w:name w:val="footnote reference"/>
    <w:aliases w:val="titulo 2,Знак сноски-FN,Ref. de nota al pie.,FC,ftref,16 Point,Superscript 6 Point,Footnote number,Texto de nota al pie,Footnotes refss,Appel note de bas de page,Ref,de nota al pie,referencia nota al pie"/>
    <w:basedOn w:val="Fuentedeprrafopredeter"/>
    <w:uiPriority w:val="99"/>
    <w:unhideWhenUsed/>
    <w:qFormat/>
    <w:rsid w:val="00494871"/>
    <w:rPr>
      <w:vertAlign w:val="superscript"/>
    </w:rPr>
  </w:style>
  <w:style w:type="character" w:customStyle="1" w:styleId="PrrafodelistaCar">
    <w:name w:val="Párrafo de lista Car"/>
    <w:aliases w:val="List Paragraph-Thesis Car,Lista vistosa - Énfasis 11 Car,bei normal Car,Dot pt Car,No Spacing1 Car,List Paragraph Char Char Char Car,Indicator Text Car,Numbered Para 1 Car,Colorful List - Accent 11 Car,Bullet 1 Car,Bullet Points Car"/>
    <w:link w:val="Prrafodelista"/>
    <w:uiPriority w:val="34"/>
    <w:qFormat/>
    <w:locked/>
    <w:rsid w:val="00494871"/>
    <w:rPr>
      <w:rFonts w:ascii="Times New Roman" w:eastAsia="Times New Roman" w:hAnsi="Times New Roman" w:cs="Times New Roman"/>
      <w:kern w:val="0"/>
      <w:sz w:val="20"/>
      <w:szCs w:val="20"/>
      <w:lang w:val="es-ES" w:eastAsia="es-PE"/>
      <w14:ligatures w14:val="none"/>
    </w:rPr>
  </w:style>
  <w:style w:type="paragraph" w:styleId="Textocomentario">
    <w:name w:val="annotation text"/>
    <w:basedOn w:val="Normal"/>
    <w:link w:val="TextocomentarioCar"/>
    <w:uiPriority w:val="99"/>
    <w:unhideWhenUsed/>
    <w:rsid w:val="00494871"/>
  </w:style>
  <w:style w:type="character" w:customStyle="1" w:styleId="TextocomentarioCar">
    <w:name w:val="Texto comentario Car"/>
    <w:basedOn w:val="Fuentedeprrafopredeter"/>
    <w:link w:val="Textocomentario"/>
    <w:uiPriority w:val="99"/>
    <w:rsid w:val="00494871"/>
    <w:rPr>
      <w:rFonts w:ascii="Times New Roman" w:eastAsia="Times New Roman" w:hAnsi="Times New Roman" w:cs="Times New Roman"/>
      <w:kern w:val="0"/>
      <w:sz w:val="20"/>
      <w:szCs w:val="20"/>
      <w:lang w:val="es-ES" w:eastAsia="es-PE"/>
      <w14:ligatures w14:val="none"/>
    </w:rPr>
  </w:style>
  <w:style w:type="character" w:customStyle="1" w:styleId="normaltextrun">
    <w:name w:val="normaltextrun"/>
    <w:basedOn w:val="Fuentedeprrafopredeter"/>
    <w:rsid w:val="00494871"/>
  </w:style>
  <w:style w:type="character" w:styleId="Ttulodellibro">
    <w:name w:val="Book Title"/>
    <w:basedOn w:val="Fuentedeprrafopredeter"/>
    <w:uiPriority w:val="33"/>
    <w:qFormat/>
    <w:rsid w:val="00494871"/>
    <w:rPr>
      <w:b/>
      <w:bCs/>
      <w:i/>
      <w:iCs/>
      <w:spacing w:val="5"/>
    </w:rPr>
  </w:style>
  <w:style w:type="paragraph" w:customStyle="1" w:styleId="TableParagraph">
    <w:name w:val="Table Paragraph"/>
    <w:basedOn w:val="Normal"/>
    <w:uiPriority w:val="1"/>
    <w:qFormat/>
    <w:rsid w:val="00494871"/>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2521</Words>
  <Characters>13868</Characters>
  <Application>Microsoft Office Word</Application>
  <DocSecurity>0</DocSecurity>
  <Lines>115</Lines>
  <Paragraphs>32</Paragraphs>
  <ScaleCrop>false</ScaleCrop>
  <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Alarcón Valladares</dc:creator>
  <cp:keywords/>
  <dc:description/>
  <cp:lastModifiedBy>Vanessa Alarcón Valladares</cp:lastModifiedBy>
  <cp:revision>1</cp:revision>
  <dcterms:created xsi:type="dcterms:W3CDTF">2023-09-15T00:17:00Z</dcterms:created>
  <dcterms:modified xsi:type="dcterms:W3CDTF">2023-09-15T00:19:00Z</dcterms:modified>
</cp:coreProperties>
</file>